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p>
      <w:pPr>
        <w:pStyle w:val="BodyText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f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f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6">
        <w:r>
          <w:rPr>
            <w:rStyle w:val="Hyperlink"/>
          </w:rPr>
          <w:t xml:space="preserve">doi:10.18637/jss.v007.i02</w:t>
        </w:r>
      </w:hyperlink>
      <w:r>
        <w:t xml:space="preserve"> </w:t>
      </w:r>
      <w:r>
        <w:t xml:space="preserve">- Zeileis, A., Kleiber, C., Krämer, W., Hornik, K. (2003). Testing and dating of structural changes in practice. Computational Statistics &amp; Data Analysis, 44(1), 109–123.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2025-11-06T23:02:52Z</dcterms:created>
  <dcterms:modified xsi:type="dcterms:W3CDTF">2025-11-06T23:02:52Z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