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FFT AMOC regression anomaly detection: FFT-based high-pass filtering with an automatic cutoff selected via AMOC on the power spectrum. Low frequencies below the AMOC changepoint are removed; anomalies are flagged from residual magnitudes and thresholded using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p>
      <w:pPr>
        <w:pStyle w:val="BodyText"/>
      </w:pPr>
      <w:r>
        <w:t xml:space="preserve">This variant combines FFT high-pass filtering with a cutoff selected by AMOC (single change in the spectrum). We will:</w:t>
      </w:r>
    </w:p>
    <w:p>
      <w:pPr>
        <w:pStyle w:val="Compact"/>
        <w:numPr>
          <w:ilvl w:val="0"/>
          <w:numId w:val="1001"/>
        </w:numPr>
      </w:pPr>
      <w:r>
        <w:t xml:space="preserve">Load and visualize a simple anomaly dataset</w:t>
      </w:r>
    </w:p>
    <w:p>
      <w:pPr>
        <w:pStyle w:val="Compact"/>
        <w:numPr>
          <w:ilvl w:val="0"/>
          <w:numId w:val="1001"/>
        </w:numPr>
      </w:pPr>
      <w:r>
        <w:t xml:space="preserve">Configure and run</w:t>
      </w:r>
      <w:r>
        <w:t xml:space="preserve"> </w:t>
      </w:r>
      <w:r>
        <w:rPr>
          <w:rStyle w:val="VerbatimChar"/>
        </w:rPr>
        <w:t xml:space="preserve">hanr_fft_amoc</w:t>
      </w:r>
    </w:p>
    <w:p>
      <w:pPr>
        <w:pStyle w:val="Compact"/>
        <w:numPr>
          <w:ilvl w:val="0"/>
          <w:numId w:val="1001"/>
        </w:numPr>
      </w:pPr>
      <w:r>
        <w:t xml:space="preserve">Inspect detections, evaluate, and plot residual magnitudes and thresholds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anomaly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anomaly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fft_amoc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Configure the FFT+AMOC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hanr_fft_amoc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anomaly indices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fft_amoc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magnitude and decision thresholds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fft_amoc_files/figure-docx/unnamed-chunk-12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Sobrinho, E. P., et al. Fine-Tuning Detection Criteria for Enhancing Anomaly Detection in Time Series. SBBD, 2025.</w:t>
      </w:r>
      <w:r>
        <w:t xml:space="preserve"> </w:t>
      </w:r>
      <w:hyperlink r:id="rId29">
        <w:r>
          <w:rPr>
            <w:rStyle w:val="Hyperlink"/>
          </w:rPr>
          <w:t xml:space="preserve">doi:10.5753/sbbd.2025.247063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0" Target="media/rId20.png" /><Relationship Type="http://schemas.openxmlformats.org/officeDocument/2006/relationships/hyperlink" Id="rId29" Target="doi:10.5753/sbbd.2025.24706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oi:10.5753/sbbd.2025.24706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2025-11-06T14:17:54Z</dcterms:created>
  <dcterms:modified xsi:type="dcterms:W3CDTF">2025-11-06T14:17:54Z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