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Wavelet regression anomaly detection: Multi-resolution analysis via MODWT wavelet decomposition; detail coefficients are aggregated to form a magnitude signal. Large localized energy indicates anomalies, with thresholding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The wavelet-based detector decomposes the series into multi-resolution detail bands (MODWT) and flags large aggregated high-frequency energy as anomalies. Steps: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anomaly dataset</w:t>
      </w:r>
    </w:p>
    <w:p>
      <w:pPr>
        <w:pStyle w:val="Compact"/>
        <w:numPr>
          <w:ilvl w:val="0"/>
          <w:numId w:val="1001"/>
        </w:numPr>
      </w:pPr>
      <w:r>
        <w:t xml:space="preserve">Configure and run</w:t>
      </w:r>
      <w:r>
        <w:t xml:space="preserve"> </w:t>
      </w:r>
      <w:r>
        <w:rPr>
          <w:rStyle w:val="VerbatimChar"/>
        </w:rPr>
        <w:t xml:space="preserve">hanr_wavelet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magnitudes and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wavelet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wavelet-based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hanr_wavelet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wavelet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wavelet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Mallat, S. (1989). A theory for multiresolution signal decomposition: The wavelet representation. IEEE TPAMI, 11(7), 674–693.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2025-11-06T14:19:12Z</dcterms:created>
  <dcterms:modified xsi:type="dcterms:W3CDTF">2025-11-06T14:19:12Z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