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hanr_wavelet</w:t>
      </w:r>
      <w:r>
        <w:t xml:space="preserve">. The semantic point is the one stated above: wavelet regression anomaly detection: Multi-resolution analysis via MODWT wavelet decomposition; detail coefficients are aggregated to form a magnitude signal,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wavelet regression anomaly detection: Multi-resolution analysis via MODWT wavelet decomposition; detail coefficients are aggregated to form a magnitude signal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4-regression-hanr_wavele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wavelet regression anomaly detection: Multi-resolution analysis via MODWT wavelet decomposition; detail coefficients are aggregated to form a magnitude signal, so each argument controls how strongly the method will emphasize that pattern when it later produces anomaly flags.</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hanr_wavelet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hanr_wavelet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4-regression-hanr_wavele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4-regression-hanr_wavelet_files/db2869426fcc1be5cd3a83ebd41d0bfd3afb32c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2026-05-11T19:06:06Z</dcterms:created>
  <dcterms:modified xsi:type="dcterms:W3CDTF">2026-05-11T19:06:06Z</dcterms:modified>
</cp:coreProperties>
</file>

<file path=docProps/custom.xml><?xml version="1.0" encoding="utf-8"?>
<Properties xmlns="http://schemas.openxmlformats.org/officeDocument/2006/custom-properties" xmlns:vt="http://schemas.openxmlformats.org/officeDocument/2006/docPropsVTypes"/>
</file>