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Override PartName="/word/media/rId19.png" ContentType="image/png"/>
  <Override PartName="/word/media/rId2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objective"/>
    <w:p>
      <w:pPr>
        <w:pStyle w:val="Heading2"/>
      </w:pPr>
      <w:r>
        <w:t xml:space="preserve">Objective</w:t>
      </w:r>
    </w:p>
    <w:p>
      <w:pPr>
        <w:pStyle w:val="FirstParagraph"/>
      </w:pPr>
      <w:r>
        <w:t xml:space="preserve">The ARIMA-based anomaly detector fits an ARIMA model to the time series and flags large residuals as anomalies. In this walkthrough we will:</w:t>
      </w:r>
    </w:p>
    <w:p>
      <w:pPr>
        <w:pStyle w:val="Compact"/>
        <w:numPr>
          <w:ilvl w:val="0"/>
          <w:numId w:val="1001"/>
        </w:numPr>
      </w:pPr>
      <w:r>
        <w:t xml:space="preserve">Load a synthetic anomaly dataset and visualize it</w:t>
      </w:r>
    </w:p>
    <w:p>
      <w:pPr>
        <w:pStyle w:val="Compact"/>
        <w:numPr>
          <w:ilvl w:val="0"/>
          <w:numId w:val="1001"/>
        </w:numPr>
      </w:pPr>
      <w:r>
        <w:t xml:space="preserve">Configure and run the ARIMA detector (</w:t>
      </w:r>
      <w:r>
        <w:rPr>
          <w:rStyle w:val="VerbatimChar"/>
        </w:rPr>
        <w:t xml:space="preserve">hanr_arima</w:t>
      </w:r>
      <w:r>
        <w:t xml:space="preserve">)</w:t>
      </w:r>
    </w:p>
    <w:p>
      <w:pPr>
        <w:pStyle w:val="Compact"/>
        <w:numPr>
          <w:ilvl w:val="0"/>
          <w:numId w:val="1001"/>
        </w:numPr>
      </w:pPr>
      <w:r>
        <w:t xml:space="preserve">Inspect detections, evaluate against ground truth, and plot residuals and thresholds</w:t>
      </w:r>
    </w:p>
    <w:bookmarkEnd w:id="9"/>
    <w:bookmarkStart w:id="10" w:name="method-at-a-glance"/>
    <w:p>
      <w:pPr>
        <w:pStyle w:val="Heading2"/>
      </w:pPr>
      <w:r>
        <w:t xml:space="preserve">Method at a glance</w:t>
      </w:r>
    </w:p>
    <w:p>
      <w:pPr>
        <w:pStyle w:val="FirstParagraph"/>
      </w:pPr>
      <w:r>
        <w:t xml:space="preserve">ARIMA regression anomaly detection: This detector fits an ARIMA(p, d, q) model to the series and uses large standardized residuals as anomaly evidence. After estimating the model, residual magnitudes are summarized via a distance function and thresholded using outlier heuristics provided by</w:t>
      </w:r>
      <w:r>
        <w:t xml:space="preserve"> </w:t>
      </w:r>
      <w:r>
        <w:rPr>
          <w:rStyle w:val="VerbatimChar"/>
        </w:rPr>
        <w:t xml:space="preserve">harutils()</w:t>
      </w:r>
      <w:r>
        <w:t xml:space="preserve">.</w:t>
      </w:r>
    </w:p>
    <w:bookmarkEnd w:id="10"/>
    <w:bookmarkStart w:id="26" w:name="what-you-will-do"/>
    <w:p>
      <w:pPr>
        <w:pStyle w:val="Heading2"/>
      </w:pPr>
      <w:r>
        <w:t xml:space="preserve">What you will do</w:t>
      </w:r>
    </w:p>
    <w:p>
      <w:pPr>
        <w:pStyle w:val="Compact"/>
        <w:numPr>
          <w:ilvl w:val="0"/>
          <w:numId w:val="1002"/>
        </w:numPr>
      </w:pPr>
      <w:r>
        <w:t xml:space="preserve">understand the purpose of the example and when the technique is useful</w:t>
      </w:r>
    </w:p>
    <w:p>
      <w:pPr>
        <w:pStyle w:val="Compact"/>
        <w:numPr>
          <w:ilvl w:val="0"/>
          <w:numId w:val="1002"/>
        </w:numPr>
      </w:pPr>
      <w:r>
        <w:t xml:space="preserve">follow the workflow from data loading to model fitting and detection</w:t>
      </w:r>
    </w:p>
    <w:p>
      <w:pPr>
        <w:pStyle w:val="Compact"/>
        <w:numPr>
          <w:ilvl w:val="0"/>
          <w:numId w:val="1002"/>
        </w:numPr>
      </w:pPr>
      <w:r>
        <w:t xml:space="preserve">inspect the evaluation outputs and the diagnostic plots produced by Harbinger</w:t>
      </w:r>
    </w:p>
    <w:bookmarkStart w:id="11"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hanr_arima</w:t>
      </w:r>
      <w:r>
        <w:t xml:space="preserve">. The semantic point is the one stated above: aRIMA regression anomaly detection: This detector fits an ARIMA(p, d, q) model to the series and uses large standardized residuals as anomaly evidence, so the raw signal needs to be visible before any fitting step hides that structure behind model output.</w:t>
      </w:r>
    </w:p>
    <w:p>
      <w:pPr>
        <w:pStyle w:val="SourceCode"/>
      </w:pPr>
      <w:r>
        <w:rPr>
          <w:rStyle w:val="CommentTok"/>
        </w:rPr>
        <w:t xml:space="preserve"># Install Harbinger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p>
    <w:p>
      <w:pPr>
        <w:pStyle w:val="SourceCode"/>
      </w:pPr>
      <w:r>
        <w:rPr>
          <w:rStyle w:val="CommentTok"/>
        </w:rPr>
        <w:t xml:space="preserve"># Load example anomaly datasets</w:t>
      </w:r>
      <w:r>
        <w:br/>
      </w:r>
      <w:r>
        <w:rPr>
          <w:rStyle w:val="FunctionTok"/>
        </w:rPr>
        <w:t xml:space="preserve">data</w:t>
      </w:r>
      <w:r>
        <w:rPr>
          <w:rStyle w:val="NormalTok"/>
        </w:rPr>
        <w:t xml:space="preserve">(examples_anomalies)</w:t>
      </w:r>
    </w:p>
    <w:p>
      <w:pPr>
        <w:pStyle w:val="SourceCode"/>
      </w:pPr>
      <w:r>
        <w:rPr>
          <w:rStyle w:val="CommentTok"/>
        </w:rPr>
        <w:t xml:space="preserve"># Select a simple anomaly dataset</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simple</w:t>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1.0000000 FALSE</w:t>
      </w:r>
      <w:r>
        <w:br/>
      </w:r>
      <w:r>
        <w:rPr>
          <w:rStyle w:val="VerbatimChar"/>
        </w:rPr>
        <w:t xml:space="preserve">## 2 0.9689124 FALSE</w:t>
      </w:r>
      <w:r>
        <w:br/>
      </w:r>
      <w:r>
        <w:rPr>
          <w:rStyle w:val="VerbatimChar"/>
        </w:rPr>
        <w:t xml:space="preserve">## 3 0.8775826 FALSE</w:t>
      </w:r>
      <w:r>
        <w:br/>
      </w:r>
      <w:r>
        <w:rPr>
          <w:rStyle w:val="VerbatimChar"/>
        </w:rPr>
        <w:t xml:space="preserve">## 4 0.7316889 FALSE</w:t>
      </w:r>
      <w:r>
        <w:br/>
      </w:r>
      <w:r>
        <w:rPr>
          <w:rStyle w:val="VerbatimChar"/>
        </w:rPr>
        <w:t xml:space="preserve">## 5 0.5403023 FALSE</w:t>
      </w:r>
      <w:r>
        <w:br/>
      </w:r>
      <w:r>
        <w:rPr>
          <w:rStyle w:val="VerbatimChar"/>
        </w:rPr>
        <w:t xml:space="preserve">## 6 0.3153224 FALSE</w:t>
      </w:r>
    </w:p>
    <w:bookmarkEnd w:id="11"/>
    <w:bookmarkStart w:id="15" w:name="interpret-the-result-visually"/>
    <w:p>
      <w:pPr>
        <w:pStyle w:val="Heading3"/>
      </w:pPr>
      <w:r>
        <w:t xml:space="preserve">Interpret the Result Visually</w:t>
      </w:r>
    </w:p>
    <w:p>
      <w:pPr>
        <w:pStyle w:val="FirstParagraph"/>
      </w:pPr>
      <w:r>
        <w:t xml:space="preserve">This first visual pass establishes what the method should react to in the raw series. Keep the method summary in mind here, because aRIMA regression anomaly detection: This detector fits an ARIMA(p, d, q) model to the series and uses large standardized residuals as anomaly evidence and the plot tells you whether that structure is clean, weak, local, repeated, or mixed with other effects.</w:t>
      </w:r>
    </w:p>
    <w:p>
      <w:pPr>
        <w:pStyle w:val="SourceCode"/>
      </w:pPr>
      <w:r>
        <w:rPr>
          <w:rStyle w:val="CommentTok"/>
        </w:rPr>
        <w:t xml:space="preserve"># Plot the raw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13" name="Picture"/>
            <a:graphic>
              <a:graphicData uri="http://schemas.openxmlformats.org/drawingml/2006/picture">
                <pic:pic>
                  <pic:nvPicPr>
                    <pic:cNvPr descr="/home/gpca/harbinger/examples/anomalies/doc/02-regression-hanr_arima_files/46fd22c5619288bab818a9b18590cffbd2d68ef6.png" id="14" name="Picture"/>
                    <pic:cNvPicPr>
                      <a:picLocks noChangeArrowheads="1" noChangeAspect="1"/>
                    </pic:cNvPicPr>
                  </pic:nvPicPr>
                  <pic:blipFill>
                    <a:blip r:embed="rId12"/>
                    <a:stretch>
                      <a:fillRect/>
                    </a:stretch>
                  </pic:blipFill>
                  <pic:spPr bwMode="auto">
                    <a:xfrm>
                      <a:off x="0" y="0"/>
                      <a:ext cx="4620126" cy="3696101"/>
                    </a:xfrm>
                    <a:prstGeom prst="rect">
                      <a:avLst/>
                    </a:prstGeom>
                    <a:noFill/>
                    <a:ln w="9525">
                      <a:noFill/>
                      <a:headEnd/>
                      <a:tailEnd/>
                    </a:ln>
                  </pic:spPr>
                </pic:pic>
              </a:graphicData>
            </a:graphic>
          </wp:inline>
        </w:drawing>
      </w:r>
    </w:p>
    <w:bookmarkEnd w:id="15"/>
    <w:bookmarkStart w:id="16" w:name="configure-the-method"/>
    <w:p>
      <w:pPr>
        <w:pStyle w:val="Heading3"/>
      </w:pPr>
      <w:r>
        <w:t xml:space="preserve">Configure the Method</w:t>
      </w:r>
    </w:p>
    <w:p>
      <w:pPr>
        <w:pStyle w:val="FirstParagraph"/>
      </w:pPr>
      <w:r>
        <w:t xml:space="preserve">The choices below turn the central modeling idea into concrete parameters. They matter because aRIMA regression anomaly detection: This detector fits an ARIMA(p, d, q) model to the series and uses large standardized residuals as anomaly evidence, so each argument controls how strongly the method will emphasize that pattern when it later produces anomaly flags.</w:t>
      </w:r>
    </w:p>
    <w:p>
      <w:pPr>
        <w:pStyle w:val="SourceCode"/>
      </w:pPr>
      <w:r>
        <w:rPr>
          <w:rStyle w:val="CommentTok"/>
        </w:rPr>
        <w:t xml:space="preserve"># Configure ARIMA-based anomaly detector</w:t>
      </w:r>
      <w:r>
        <w:br/>
      </w:r>
      <w:r>
        <w:rPr>
          <w:rStyle w:val="NormalTok"/>
        </w:rPr>
        <w:t xml:space="preserve">model </w:t>
      </w:r>
      <w:r>
        <w:rPr>
          <w:rStyle w:val="OtherTok"/>
        </w:rPr>
        <w:t xml:space="preserve">&lt;-</w:t>
      </w:r>
      <w:r>
        <w:rPr>
          <w:rStyle w:val="NormalTok"/>
        </w:rPr>
        <w:t xml:space="preserve"> </w:t>
      </w:r>
      <w:r>
        <w:rPr>
          <w:rStyle w:val="FunctionTok"/>
        </w:rPr>
        <w:t xml:space="preserve">hanr_arima</w:t>
      </w:r>
      <w:r>
        <w:rPr>
          <w:rStyle w:val="NormalTok"/>
        </w:rPr>
        <w:t xml:space="preserve">()</w:t>
      </w:r>
    </w:p>
    <w:p>
      <w:pPr>
        <w:pStyle w:val="SourceCode"/>
      </w:pPr>
      <w:r>
        <w:rPr>
          <w:rStyle w:val="CommentTok"/>
        </w:rPr>
        <w:t xml:space="preserve"># Fit the detector (estimates ARIMA order and caches parameters)</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p>
    <w:bookmarkEnd w:id="16"/>
    <w:bookmarkStart w:id="17" w:name="run-the-core-analysis"/>
    <w:p>
      <w:pPr>
        <w:pStyle w:val="Heading3"/>
      </w:pPr>
      <w:r>
        <w:t xml:space="preserve">Run the Core Analysis</w:t>
      </w:r>
    </w:p>
    <w:p>
      <w:pPr>
        <w:pStyle w:val="FirstParagraph"/>
      </w:pPr>
      <w:r>
        <w:t xml:space="preserve">This is the moment where the notebook tests its central assumption on actual data. After applying</w:t>
      </w:r>
      <w:r>
        <w:t xml:space="preserve"> </w:t>
      </w:r>
      <w:r>
        <w:rPr>
          <w:rStyle w:val="VerbatimChar"/>
        </w:rPr>
        <w:t xml:space="preserve">hanr_arima</w:t>
      </w:r>
      <w:r>
        <w:t xml:space="preserve">, the important question is whether the resulting anomaly flags really correspond to the pattern implied by the method description above, rather than to arbitrary numerical variation.</w:t>
      </w:r>
    </w:p>
    <w:p>
      <w:pPr>
        <w:pStyle w:val="SourceCode"/>
      </w:pPr>
      <w:r>
        <w:rPr>
          <w:rStyle w:val="CommentTok"/>
        </w:rPr>
        <w:t xml:space="preserve"># Run detection to compute residual magnitudes and flags</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p>
      <w:pPr>
        <w:pStyle w:val="SourceCode"/>
      </w:pPr>
      <w:r>
        <w:rPr>
          <w:rStyle w:val="CommentTok"/>
        </w:rPr>
        <w:t xml:space="preserve"># Show detected anomaly indices</w:t>
      </w:r>
      <w:r>
        <w:br/>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 </w:t>
      </w:r>
      <w:r>
        <w:rPr>
          <w:rStyle w:val="SpecialCharTok"/>
        </w:rPr>
        <w:t xml:space="preserve">==</w:t>
      </w:r>
      <w:r>
        <w:rPr>
          <w:rStyle w:val="NormalTok"/>
        </w:rPr>
        <w:t xml:space="preserve"> </w:t>
      </w:r>
      <w:r>
        <w:rPr>
          <w:rStyle w:val="ConstantTok"/>
        </w:rPr>
        <w:t xml:space="preserve">TRUE</w:t>
      </w:r>
      <w:r>
        <w:rPr>
          <w:rStyle w:val="NormalTok"/>
        </w:rPr>
        <w:t xml:space="preserve">))</w:t>
      </w:r>
    </w:p>
    <w:p>
      <w:pPr>
        <w:pStyle w:val="SourceCode"/>
      </w:pPr>
      <w:r>
        <w:rPr>
          <w:rStyle w:val="VerbatimChar"/>
        </w:rPr>
        <w:t xml:space="preserve">##   idx event    type</w:t>
      </w:r>
      <w:r>
        <w:br/>
      </w:r>
      <w:r>
        <w:rPr>
          <w:rStyle w:val="VerbatimChar"/>
        </w:rPr>
        <w:t xml:space="preserve">## 1  50  TRUE anomaly</w:t>
      </w:r>
    </w:p>
    <w:bookmarkEnd w:id="17"/>
    <w:bookmarkStart w:id="18" w:name="evaluate-what-was-found"/>
    <w:p>
      <w:pPr>
        <w:pStyle w:val="Heading3"/>
      </w:pPr>
      <w:r>
        <w:t xml:space="preserve">Evaluate What Was Found</w:t>
      </w:r>
    </w:p>
    <w:p>
      <w:pPr>
        <w:pStyle w:val="FirstParagraph"/>
      </w:pPr>
      <w:r>
        <w:t xml:space="preserve">The evaluation asks whether the anomaly flags produced by</w:t>
      </w:r>
      <w:r>
        <w:t xml:space="preserve"> </w:t>
      </w:r>
      <w:r>
        <w:rPr>
          <w:rStyle w:val="VerbatimChar"/>
        </w:rPr>
        <w:t xml:space="preserve">hanr_arima</w:t>
      </w:r>
      <w:r>
        <w:t xml:space="preserve"> </w:t>
      </w:r>
      <w:r>
        <w:t xml:space="preserve">match the labeled structure on this dataset. Read the scores as evidence about the method’s assumptions in practice, not as detached summary numbers.</w:t>
      </w:r>
    </w:p>
    <w:p>
      <w:pPr>
        <w:pStyle w:val="SourceCode"/>
      </w:pPr>
      <w:r>
        <w:rPr>
          <w:rStyle w:val="CommentTok"/>
        </w:rPr>
        <w:t xml:space="preserve"># Evaluate detections against labeled events</w:t>
      </w:r>
      <w:r>
        <w:br/>
      </w:r>
      <w:r>
        <w:rPr>
          <w:rStyle w:val="NormalTok"/>
        </w:rPr>
        <w:t xml:space="preserve">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1     0    </w:t>
      </w:r>
      <w:r>
        <w:br/>
      </w:r>
      <w:r>
        <w:rPr>
          <w:rStyle w:val="VerbatimChar"/>
        </w:rPr>
        <w:t xml:space="preserve">## FALSE     0     100</w:t>
      </w:r>
    </w:p>
    <w:bookmarkEnd w:id="18"/>
    <w:bookmarkStart w:id="25" w:name="interpret-the-result-visually-1"/>
    <w:p>
      <w:pPr>
        <w:pStyle w:val="Heading3"/>
      </w:pPr>
      <w:r>
        <w:t xml:space="preserve">Interpret the Result Visually</w:t>
      </w:r>
    </w:p>
    <w:p>
      <w:pPr>
        <w:pStyle w:val="FirstParagraph"/>
      </w:pPr>
      <w:r>
        <w:t xml:space="preserve">This visual check puts the model output back on top of the original signal. What matters now is whether the highlighted anomaly flags line up with the structure suggested by the method, which is the real semantic test of whether the example is teaching the right lesson.</w:t>
      </w:r>
    </w:p>
    <w:p>
      <w:pPr>
        <w:pStyle w:val="SourceCode"/>
      </w:pPr>
      <w:r>
        <w:rPr>
          <w:rStyle w:val="CommentTok"/>
        </w:rPr>
        <w:t xml:space="preserve"># Plot detections vs. ground truth</w:t>
      </w:r>
      <w:r>
        <w:br/>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20" name="Picture"/>
            <a:graphic>
              <a:graphicData uri="http://schemas.openxmlformats.org/drawingml/2006/picture">
                <pic:pic>
                  <pic:nvPicPr>
                    <pic:cNvPr descr="/home/gpca/harbinger/examples/anomalies/doc/02-regression-hanr_arima_files/afec30626f55b769805c4183d4f4a2d6dc033e5a.png" id="21" name="Picture"/>
                    <pic:cNvPicPr>
                      <a:picLocks noChangeArrowheads="1" noChangeAspect="1"/>
                    </pic:cNvPicPr>
                  </pic:nvPicPr>
                  <pic:blipFill>
                    <a:blip r:embed="rId19"/>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Plot the residual magnitude and the decision thresholds</w:t>
      </w:r>
      <w:r>
        <w:br/>
      </w:r>
      <w:r>
        <w:rPr>
          <w:rStyle w:val="FunctionTok"/>
        </w:rPr>
        <w:t xml:space="preserve">har_plot</w:t>
      </w:r>
      <w:r>
        <w:rPr>
          <w:rStyle w:val="NormalTok"/>
        </w:rPr>
        <w:t xml:space="preserve">(model, </w:t>
      </w:r>
      <w:r>
        <w:rPr>
          <w:rStyle w:val="FunctionTok"/>
        </w:rPr>
        <w:t xml:space="preserve">attr</w:t>
      </w:r>
      <w:r>
        <w:rPr>
          <w:rStyle w:val="NormalTok"/>
        </w:rPr>
        <w:t xml:space="preserve">(detection, </w:t>
      </w:r>
      <w:r>
        <w:rPr>
          <w:rStyle w:val="StringTok"/>
        </w:rPr>
        <w:t xml:space="preserve">"res"</w:t>
      </w:r>
      <w:r>
        <w:rPr>
          <w:rStyle w:val="NormalTok"/>
        </w:rPr>
        <w:t xml:space="preserve">), detection, dataset</w:t>
      </w:r>
      <w:r>
        <w:rPr>
          <w:rStyle w:val="SpecialCharTok"/>
        </w:rPr>
        <w:t xml:space="preserve">$</w:t>
      </w:r>
      <w:r>
        <w:rPr>
          <w:rStyle w:val="NormalTok"/>
        </w:rPr>
        <w:t xml:space="preserve">event,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p>
    <w:p>
      <w:pPr>
        <w:pStyle w:val="FirstParagraph"/>
      </w:pPr>
      <w:r>
        <w:drawing>
          <wp:inline>
            <wp:extent cx="4620126" cy="3696101"/>
            <wp:effectExtent b="0" l="0" r="0" t="0"/>
            <wp:docPr descr="" title="" id="23" name="Picture"/>
            <a:graphic>
              <a:graphicData uri="http://schemas.openxmlformats.org/drawingml/2006/picture">
                <pic:pic>
                  <pic:nvPicPr>
                    <pic:cNvPr descr="/home/gpca/harbinger/examples/anomalies/doc/02-regression-hanr_arima_files/ee36ed231aaeb9b6fd13599fa38ef422cf0b6eee.png" id="24" name="Picture"/>
                    <pic:cNvPicPr>
                      <a:picLocks noChangeArrowheads="1" noChangeAspect="1"/>
                    </pic:cNvPicPr>
                  </pic:nvPicPr>
                  <pic:blipFill>
                    <a:blip r:embed="rId22"/>
                    <a:stretch>
                      <a:fillRect/>
                    </a:stretch>
                  </pic:blipFill>
                  <pic:spPr bwMode="auto">
                    <a:xfrm>
                      <a:off x="0" y="0"/>
                      <a:ext cx="4620126" cy="3696101"/>
                    </a:xfrm>
                    <a:prstGeom prst="rect">
                      <a:avLst/>
                    </a:prstGeom>
                    <a:noFill/>
                    <a:ln w="9525">
                      <a:noFill/>
                      <a:headEnd/>
                      <a:tailEnd/>
                    </a:ln>
                  </pic:spPr>
                </pic:pic>
              </a:graphicData>
            </a:graphic>
          </wp:inline>
        </w:drawing>
      </w:r>
    </w:p>
    <w:bookmarkEnd w:id="25"/>
    <w:bookmarkEnd w:id="26"/>
    <w:bookmarkStart w:id="27" w:name="references"/>
    <w:p>
      <w:pPr>
        <w:pStyle w:val="Heading2"/>
      </w:pPr>
      <w:r>
        <w:t xml:space="preserve">References</w:t>
      </w:r>
    </w:p>
    <w:p>
      <w:pPr>
        <w:pStyle w:val="Compact"/>
        <w:numPr>
          <w:ilvl w:val="0"/>
          <w:numId w:val="1003"/>
        </w:numPr>
      </w:pPr>
      <w:r>
        <w:t xml:space="preserve">Box, G. E. P., Jenkins, G. M., Reinsel, G. C., Ljung, G. M. (2015). Time Series Analysis: Forecasting and Control. Wiley.</w:t>
      </w:r>
    </w:p>
    <w:bookmarkEnd w:id="2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image" Id="rId19" Target="media/rId19.png" /><Relationship Type="http://schemas.openxmlformats.org/officeDocument/2006/relationships/image" Id="rId22" Target="media/rId2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2026-05-11T00:52:38Z</dcterms:created>
  <dcterms:modified xsi:type="dcterms:W3CDTF">2026-05-11T00:52:38Z</dcterms:modified>
</cp:coreProperties>
</file>

<file path=docProps/custom.xml><?xml version="1.0" encoding="utf-8"?>
<Properties xmlns="http://schemas.openxmlformats.org/officeDocument/2006/custom-properties" xmlns:vt="http://schemas.openxmlformats.org/officeDocument/2006/docPropsVTypes"/>
</file>