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9"/>
    <w:bookmarkStart w:id="10"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32-ensemble-hanr_ensemble</w:t>
      </w:r>
      <w:r>
        <w:t xml:space="preserve">. The semantic point is the one stated above: ensemble anomaly detection: Majority-vote ensemble across multiple detectors, optionally with temporal fuzzification to combine nearby detections into a single event,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anomaly detection: Majority-vote ensemble across multiple detectors, optionally with temporal fuzzification to combine nearby detections into a single event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2-ensemble-hanr_ensemble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anomaly detection: Majority-vote ensemble across multiple detectors, optionally with temporal fuzzification to combine nearby detections into a single event, so each argument controls how strongly the method will emphasize that pattern when it later produces ensemble anomaly flags.</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32-ensemble-hanr_ensemble</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32-ensemble-hanr_ensemble</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2-ensemble-hanr_ensemble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2-ensemble-hanr_ensemble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2026-05-11T00:54:03Z</dcterms:created>
  <dcterms:modified xsi:type="dcterms:W3CDTF">2026-05-11T00:54:03Z</dcterms:modified>
</cp:coreProperties>
</file>

<file path=docProps/custom.xml><?xml version="1.0" encoding="utf-8"?>
<Properties xmlns="http://schemas.openxmlformats.org/officeDocument/2006/custom-properties" xmlns:vt="http://schemas.openxmlformats.org/officeDocument/2006/docPropsVTypes"/>
</file>