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9"/>
    <w:bookmarkStart w:id="10"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hmo_mp("valmod", ...)</w:t>
      </w:r>
      <w:r>
        <w:t xml:space="preserve">. The semantic point is the one stated above: vALMOD motif discovery: VALMOD maintains the Matrix Profile under streaming updates, enabling motif discovery in evolving series,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vALMOD motif discovery: VALMOD maintains the Matrix Profile under streaming updates, enabling motif discovery in evolving series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5-matrix-profile-hmo_mp_valmod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vALMOD motif discovery: VALMOD maintains the Matrix Profile under streaming updates, enabling motif discovery in evolving series, so each argument controls how strongly the method will emphasize that pattern when it later produces motif candidates.</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hmo_mp("valmod",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0.08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hmo_mp("valmod",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5-matrix-profile-hmo_mp_valmod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2026-05-11T00:56:29Z</dcterms:created>
  <dcterms:modified xsi:type="dcterms:W3CDTF">2026-05-11T00:56:29Z</dcterms:modified>
</cp:coreProperties>
</file>

<file path=docProps/custom.xml><?xml version="1.0" encoding="utf-8"?>
<Properties xmlns="http://schemas.openxmlformats.org/officeDocument/2006/custom-properties" xmlns:vt="http://schemas.openxmlformats.org/officeDocument/2006/docPropsVTypes"/>
</file>