
<file path=[Content_Types].xml><?xml version="1.0" encoding="utf-8"?>
<Types xmlns="http://schemas.openxmlformats.org/package/2006/content-types">
  <Default Extension="xml" ContentType="application/xml"/>
  <Default Extension="rels" ContentType="application/vnd.openxmlformats-package.relationships+xml"/>
  <Default Extension="odttf" ContentType="application/vnd.openxmlformats-officedocument.obfuscatedFont"/>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Override PartName="/word/media/rId19.png" ContentType="image/png"/>
  <Override PartName="/word/media/rId12.png" ContentType="image/png"/>
  <Override PartName="/word/media/rId22.png" ContentType="image/png"/>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bookmarkStart w:id="9" w:name="objective"/>
    <w:p>
      <w:pPr>
        <w:pStyle w:val="Heading2"/>
      </w:pPr>
      <w:r>
        <w:t xml:space="preserve">Objective</w:t>
      </w:r>
    </w:p>
    <w:p>
      <w:pPr>
        <w:pStyle w:val="FirstParagraph"/>
      </w:pPr>
      <w:r>
        <w:t xml:space="preserve">This notebook demonstrates change-point detection with a ChangeFinder variant</w:t>
      </w:r>
      <w:r>
        <w:t xml:space="preserve"> </w:t>
      </w:r>
      <w:r>
        <w:t xml:space="preserve">based on ARIMA (</w:t>
      </w:r>
      <w:r>
        <w:rPr>
          <w:rStyle w:val="VerbatimChar"/>
        </w:rPr>
        <w:t xml:space="preserve">hcp_cf_arima</w:t>
      </w:r>
      <w:r>
        <w:t xml:space="preserve">). The detector scores short-term prediction</w:t>
      </w:r>
      <w:r>
        <w:t xml:space="preserve"> </w:t>
      </w:r>
      <w:r>
        <w:t xml:space="preserve">residuals and flags structural changes when those scores persist.</w:t>
      </w:r>
    </w:p>
    <w:bookmarkEnd w:id="9"/>
    <w:bookmarkStart w:id="10" w:name="method-at-a-glance"/>
    <w:p>
      <w:pPr>
        <w:pStyle w:val="Heading2"/>
      </w:pPr>
      <w:r>
        <w:t xml:space="preserve">Method at a glance</w:t>
      </w:r>
    </w:p>
    <w:p>
      <w:pPr>
        <w:pStyle w:val="FirstParagraph"/>
      </w:pPr>
      <w:r>
        <w:t xml:space="preserve">ChangeFinder with ARIMA models residual deviations, smooths the score over time,</w:t>
      </w:r>
      <w:r>
        <w:t xml:space="preserve"> </w:t>
      </w:r>
      <w:r>
        <w:t xml:space="preserve">and applies a threshold to highlight structural changes. The ARIMA component is</w:t>
      </w:r>
      <w:r>
        <w:t xml:space="preserve"> </w:t>
      </w:r>
      <w:r>
        <w:t xml:space="preserve">provided by</w:t>
      </w:r>
      <w:r>
        <w:t xml:space="preserve"> </w:t>
      </w:r>
      <w:r>
        <w:rPr>
          <w:rStyle w:val="VerbatimChar"/>
        </w:rPr>
        <w:t xml:space="preserve">forecast</w:t>
      </w:r>
      <w:r>
        <w:t xml:space="preserve">, and thresholds are handled by</w:t>
      </w:r>
      <w:r>
        <w:t xml:space="preserve"> </w:t>
      </w:r>
      <w:r>
        <w:rPr>
          <w:rStyle w:val="VerbatimChar"/>
        </w:rPr>
        <w:t xml:space="preserve">harutils()</w:t>
      </w:r>
      <w:r>
        <w:t xml:space="preserve">.</w:t>
      </w:r>
    </w:p>
    <w:bookmarkEnd w:id="10"/>
    <w:bookmarkStart w:id="26" w:name="what-you-will-do"/>
    <w:p>
      <w:pPr>
        <w:pStyle w:val="Heading2"/>
      </w:pPr>
      <w:r>
        <w:t xml:space="preserve">What you will do</w:t>
      </w:r>
    </w:p>
    <w:p>
      <w:pPr>
        <w:pStyle w:val="Compact"/>
        <w:numPr>
          <w:ilvl w:val="0"/>
          <w:numId w:val="1001"/>
        </w:numPr>
      </w:pPr>
      <w:r>
        <w:t xml:space="preserve">load the example data and inspect the raw series</w:t>
      </w:r>
    </w:p>
    <w:p>
      <w:pPr>
        <w:pStyle w:val="Compact"/>
        <w:numPr>
          <w:ilvl w:val="0"/>
          <w:numId w:val="1001"/>
        </w:numPr>
      </w:pPr>
      <w:r>
        <w:t xml:space="preserve">configure the detector with a sliding window</w:t>
      </w:r>
    </w:p>
    <w:p>
      <w:pPr>
        <w:pStyle w:val="Compact"/>
        <w:numPr>
          <w:ilvl w:val="0"/>
          <w:numId w:val="1001"/>
        </w:numPr>
      </w:pPr>
      <w:r>
        <w:t xml:space="preserve">fit the model, detect change points, evaluate the result, and plot the output</w:t>
      </w:r>
    </w:p>
    <w:bookmarkStart w:id="11" w:name="prepare-the-example"/>
    <w:p>
      <w:pPr>
        <w:pStyle w:val="Heading3"/>
      </w:pPr>
      <w:r>
        <w:t xml:space="preserve">Prepare the Example</w:t>
      </w:r>
    </w:p>
    <w:p>
      <w:pPr>
        <w:pStyle w:val="FirstParagraph"/>
      </w:pPr>
      <w:r>
        <w:t xml:space="preserve">This setup anchors the notebook in the specific series used to examine</w:t>
      </w:r>
      <w:r>
        <w:t xml:space="preserve"> </w:t>
      </w:r>
      <w:r>
        <w:rPr>
          <w:rStyle w:val="VerbatimChar"/>
        </w:rPr>
        <w:t xml:space="preserve">hcp_cf_arima</w:t>
      </w:r>
      <w:r>
        <w:t xml:space="preserve">. The key idea is that the detector works on residual deviations, so the raw signal should be visible before any fitting step hides that structure behind model output.</w:t>
      </w:r>
    </w:p>
    <w:p>
      <w:pPr>
        <w:pStyle w:val="SourceCode"/>
      </w:pPr>
      <w:r>
        <w:rPr>
          <w:rStyle w:val="CommentTok"/>
        </w:rPr>
        <w:t xml:space="preserve"># Install Harbinger (if needed)</w:t>
      </w:r>
      <w:r>
        <w:br/>
      </w:r>
      <w:r>
        <w:rPr>
          <w:rStyle w:val="CommentTok"/>
        </w:rPr>
        <w:t xml:space="preserve">#install.packages("harbinger")</w:t>
      </w:r>
    </w:p>
    <w:p>
      <w:pPr>
        <w:pStyle w:val="SourceCode"/>
      </w:pPr>
      <w:r>
        <w:rPr>
          <w:rStyle w:val="CommentTok"/>
        </w:rPr>
        <w:t xml:space="preserve"># Load required packages</w:t>
      </w:r>
      <w:r>
        <w:br/>
      </w:r>
      <w:r>
        <w:rPr>
          <w:rStyle w:val="FunctionTok"/>
        </w:rPr>
        <w:t xml:space="preserve">library</w:t>
      </w:r>
      <w:r>
        <w:rPr>
          <w:rStyle w:val="NormalTok"/>
        </w:rPr>
        <w:t xml:space="preserve">(daltoolbox)</w:t>
      </w:r>
      <w:r>
        <w:br/>
      </w:r>
      <w:r>
        <w:rPr>
          <w:rStyle w:val="FunctionTok"/>
        </w:rPr>
        <w:t xml:space="preserve">library</w:t>
      </w:r>
      <w:r>
        <w:rPr>
          <w:rStyle w:val="NormalTok"/>
        </w:rPr>
        <w:t xml:space="preserve">(harbinger) </w:t>
      </w:r>
    </w:p>
    <w:p>
      <w:pPr>
        <w:pStyle w:val="SourceCode"/>
      </w:pPr>
      <w:r>
        <w:rPr>
          <w:rStyle w:val="CommentTok"/>
        </w:rPr>
        <w:t xml:space="preserve"># Load example change-point datasets</w:t>
      </w:r>
      <w:r>
        <w:br/>
      </w:r>
      <w:r>
        <w:rPr>
          <w:rStyle w:val="FunctionTok"/>
        </w:rPr>
        <w:t xml:space="preserve">data</w:t>
      </w:r>
      <w:r>
        <w:rPr>
          <w:rStyle w:val="NormalTok"/>
        </w:rPr>
        <w:t xml:space="preserve">(examples_changepoints)</w:t>
      </w:r>
    </w:p>
    <w:p>
      <w:pPr>
        <w:pStyle w:val="SourceCode"/>
      </w:pPr>
      <w:r>
        <w:rPr>
          <w:rStyle w:val="CommentTok"/>
        </w:rPr>
        <w:t xml:space="preserve"># Select the simple dataset</w:t>
      </w:r>
      <w:r>
        <w:br/>
      </w:r>
      <w:r>
        <w:rPr>
          <w:rStyle w:val="NormalTok"/>
        </w:rPr>
        <w:t xml:space="preserve">dataset </w:t>
      </w:r>
      <w:r>
        <w:rPr>
          <w:rStyle w:val="OtherTok"/>
        </w:rPr>
        <w:t xml:space="preserve">&lt;-</w:t>
      </w:r>
      <w:r>
        <w:rPr>
          <w:rStyle w:val="NormalTok"/>
        </w:rPr>
        <w:t xml:space="preserve"> examples_changepoints</w:t>
      </w:r>
      <w:r>
        <w:rPr>
          <w:rStyle w:val="SpecialCharTok"/>
        </w:rPr>
        <w:t xml:space="preserve">$</w:t>
      </w:r>
      <w:r>
        <w:rPr>
          <w:rStyle w:val="NormalTok"/>
        </w:rPr>
        <w:t xml:space="preserve">simple</w:t>
      </w:r>
      <w:r>
        <w:br/>
      </w:r>
      <w:r>
        <w:rPr>
          <w:rStyle w:val="FunctionTok"/>
        </w:rPr>
        <w:t xml:space="preserve">head</w:t>
      </w:r>
      <w:r>
        <w:rPr>
          <w:rStyle w:val="NormalTok"/>
        </w:rPr>
        <w:t xml:space="preserve">(dataset)</w:t>
      </w:r>
    </w:p>
    <w:p>
      <w:pPr>
        <w:pStyle w:val="SourceCode"/>
      </w:pPr>
      <w:r>
        <w:rPr>
          <w:rStyle w:val="VerbatimChar"/>
        </w:rPr>
        <w:t xml:space="preserve">##   serie event</w:t>
      </w:r>
      <w:r>
        <w:br/>
      </w:r>
      <w:r>
        <w:rPr>
          <w:rStyle w:val="VerbatimChar"/>
        </w:rPr>
        <w:t xml:space="preserve">## 1  0.00 FALSE</w:t>
      </w:r>
      <w:r>
        <w:br/>
      </w:r>
      <w:r>
        <w:rPr>
          <w:rStyle w:val="VerbatimChar"/>
        </w:rPr>
        <w:t xml:space="preserve">## 2  0.25 FALSE</w:t>
      </w:r>
      <w:r>
        <w:br/>
      </w:r>
      <w:r>
        <w:rPr>
          <w:rStyle w:val="VerbatimChar"/>
        </w:rPr>
        <w:t xml:space="preserve">## 3  0.50 FALSE</w:t>
      </w:r>
      <w:r>
        <w:br/>
      </w:r>
      <w:r>
        <w:rPr>
          <w:rStyle w:val="VerbatimChar"/>
        </w:rPr>
        <w:t xml:space="preserve">## 4  0.75 FALSE</w:t>
      </w:r>
      <w:r>
        <w:br/>
      </w:r>
      <w:r>
        <w:rPr>
          <w:rStyle w:val="VerbatimChar"/>
        </w:rPr>
        <w:t xml:space="preserve">## 5  1.00 FALSE</w:t>
      </w:r>
      <w:r>
        <w:br/>
      </w:r>
      <w:r>
        <w:rPr>
          <w:rStyle w:val="VerbatimChar"/>
        </w:rPr>
        <w:t xml:space="preserve">## 6  1.25 FALSE</w:t>
      </w:r>
    </w:p>
    <w:bookmarkEnd w:id="11"/>
    <w:bookmarkStart w:id="15" w:name="interpret-the-result-visually"/>
    <w:p>
      <w:pPr>
        <w:pStyle w:val="Heading3"/>
      </w:pPr>
      <w:r>
        <w:t xml:space="preserve">Interpret the Result Visually</w:t>
      </w:r>
    </w:p>
    <w:p>
      <w:pPr>
        <w:pStyle w:val="FirstParagraph"/>
      </w:pPr>
      <w:r>
        <w:t xml:space="preserve">This first visual pass establishes what the method should react to in the raw series. Keep the method summary in mind here, because the plot reveals whether the signal contains clean, weak, local, repeated, or mixed structural changes.</w:t>
      </w:r>
    </w:p>
    <w:p>
      <w:pPr>
        <w:pStyle w:val="SourceCode"/>
      </w:pPr>
      <w:r>
        <w:rPr>
          <w:rStyle w:val="CommentTok"/>
        </w:rPr>
        <w:t xml:space="preserve"># Plot the raw time series</w:t>
      </w:r>
      <w:r>
        <w:br/>
      </w:r>
      <w:r>
        <w:rPr>
          <w:rStyle w:val="FunctionTok"/>
        </w:rPr>
        <w:t xml:space="preserve">har_plot</w:t>
      </w:r>
      <w:r>
        <w:rPr>
          <w:rStyle w:val="NormalTok"/>
        </w:rPr>
        <w:t xml:space="preserve">(</w:t>
      </w:r>
      <w:r>
        <w:rPr>
          <w:rStyle w:val="FunctionTok"/>
        </w:rPr>
        <w:t xml:space="preserve">harbinger</w:t>
      </w:r>
      <w:r>
        <w:rPr>
          <w:rStyle w:val="NormalTok"/>
        </w:rPr>
        <w:t xml:space="preserve">(), dataset</w:t>
      </w:r>
      <w:r>
        <w:rPr>
          <w:rStyle w:val="SpecialCharTok"/>
        </w:rPr>
        <w:t xml:space="preserve">$</w:t>
      </w:r>
      <w:r>
        <w:rPr>
          <w:rStyle w:val="NormalTok"/>
        </w:rPr>
        <w:t xml:space="preserve">serie)</w:t>
      </w:r>
    </w:p>
    <w:p>
      <w:pPr>
        <w:pStyle w:val="FirstParagraph"/>
      </w:pPr>
      <w:r>
        <w:drawing>
          <wp:inline>
            <wp:extent cx="4620126" cy="3696101"/>
            <wp:effectExtent b="0" l="0" r="0" t="0"/>
            <wp:docPr descr="" title="" id="13" name="Picture"/>
            <a:graphic>
              <a:graphicData uri="http://schemas.openxmlformats.org/drawingml/2006/picture">
                <pic:pic>
                  <pic:nvPicPr>
                    <pic:cNvPr descr="C:\Git\dal\harbinger\examples\change_point\doc\07-changefinder-hcp_cf_arima_files/693e41389f8fe8d7187225776a46ef4a27e40c1f.png" id="14" name="Picture"/>
                    <pic:cNvPicPr>
                      <a:picLocks noChangeArrowheads="1" noChangeAspect="1"/>
                    </pic:cNvPicPr>
                  </pic:nvPicPr>
                  <pic:blipFill>
                    <a:blip r:embed="rId12"/>
                    <a:stretch>
                      <a:fillRect/>
                    </a:stretch>
                  </pic:blipFill>
                  <pic:spPr bwMode="auto">
                    <a:xfrm>
                      <a:off x="0" y="0"/>
                      <a:ext cx="4620126" cy="3696101"/>
                    </a:xfrm>
                    <a:prstGeom prst="rect">
                      <a:avLst/>
                    </a:prstGeom>
                    <a:noFill/>
                    <a:ln w="9525">
                      <a:noFill/>
                      <a:headEnd/>
                      <a:tailEnd/>
                    </a:ln>
                  </pic:spPr>
                </pic:pic>
              </a:graphicData>
            </a:graphic>
          </wp:inline>
        </w:drawing>
      </w:r>
    </w:p>
    <w:bookmarkEnd w:id="15"/>
    <w:bookmarkStart w:id="16" w:name="configure-the-method"/>
    <w:p>
      <w:pPr>
        <w:pStyle w:val="Heading3"/>
      </w:pPr>
      <w:r>
        <w:t xml:space="preserve">Configure the Method</w:t>
      </w:r>
    </w:p>
    <w:p>
      <w:pPr>
        <w:pStyle w:val="FirstParagraph"/>
      </w:pPr>
      <w:r>
        <w:t xml:space="preserve">The choices below turn the central modeling idea into concrete parameters. Each argument controls how strongly the method emphasizes residual shifts when it produces change-point candidates.</w:t>
      </w:r>
    </w:p>
    <w:p>
      <w:pPr>
        <w:pStyle w:val="SourceCode"/>
      </w:pPr>
      <w:r>
        <w:rPr>
          <w:rStyle w:val="CommentTok"/>
        </w:rPr>
        <w:t xml:space="preserve"># Configure the ChangeFinder-ARIMA model</w:t>
      </w:r>
      <w:r>
        <w:br/>
      </w:r>
      <w:r>
        <w:rPr>
          <w:rStyle w:val="NormalTok"/>
        </w:rPr>
        <w:t xml:space="preserve">model </w:t>
      </w:r>
      <w:r>
        <w:rPr>
          <w:rStyle w:val="OtherTok"/>
        </w:rPr>
        <w:t xml:space="preserve">&lt;-</w:t>
      </w:r>
      <w:r>
        <w:rPr>
          <w:rStyle w:val="NormalTok"/>
        </w:rPr>
        <w:t xml:space="preserve"> </w:t>
      </w:r>
      <w:r>
        <w:rPr>
          <w:rStyle w:val="FunctionTok"/>
        </w:rPr>
        <w:t xml:space="preserve">hcp_cf_arima</w:t>
      </w:r>
      <w:r>
        <w:rPr>
          <w:rStyle w:val="NormalTok"/>
        </w:rPr>
        <w:t xml:space="preserve">(</w:t>
      </w:r>
      <w:r>
        <w:rPr>
          <w:rStyle w:val="AttributeTok"/>
        </w:rPr>
        <w:t xml:space="preserve">sw_size =</w:t>
      </w:r>
      <w:r>
        <w:rPr>
          <w:rStyle w:val="NormalTok"/>
        </w:rPr>
        <w:t xml:space="preserve"> </w:t>
      </w:r>
      <w:r>
        <w:rPr>
          <w:rStyle w:val="DecValTok"/>
        </w:rPr>
        <w:t xml:space="preserve">10</w:t>
      </w:r>
      <w:r>
        <w:rPr>
          <w:rStyle w:val="NormalTok"/>
        </w:rPr>
        <w:t xml:space="preserve">)</w:t>
      </w:r>
    </w:p>
    <w:p>
      <w:pPr>
        <w:pStyle w:val="SourceCode"/>
      </w:pPr>
      <w:r>
        <w:rPr>
          <w:rStyle w:val="CommentTok"/>
        </w:rPr>
        <w:t xml:space="preserve"># Fit the detector</w:t>
      </w:r>
      <w:r>
        <w:br/>
      </w:r>
      <w:r>
        <w:rPr>
          <w:rStyle w:val="NormalTok"/>
        </w:rPr>
        <w:t xml:space="preserve">model </w:t>
      </w:r>
      <w:r>
        <w:rPr>
          <w:rStyle w:val="OtherTok"/>
        </w:rPr>
        <w:t xml:space="preserve">&lt;-</w:t>
      </w:r>
      <w:r>
        <w:rPr>
          <w:rStyle w:val="NormalTok"/>
        </w:rPr>
        <w:t xml:space="preserve"> </w:t>
      </w:r>
      <w:r>
        <w:rPr>
          <w:rStyle w:val="FunctionTok"/>
        </w:rPr>
        <w:t xml:space="preserve">fit</w:t>
      </w:r>
      <w:r>
        <w:rPr>
          <w:rStyle w:val="NormalTok"/>
        </w:rPr>
        <w:t xml:space="preserve">(model, dataset</w:t>
      </w:r>
      <w:r>
        <w:rPr>
          <w:rStyle w:val="SpecialCharTok"/>
        </w:rPr>
        <w:t xml:space="preserve">$</w:t>
      </w:r>
      <w:r>
        <w:rPr>
          <w:rStyle w:val="NormalTok"/>
        </w:rPr>
        <w:t xml:space="preserve">serie)</w:t>
      </w:r>
    </w:p>
    <w:bookmarkEnd w:id="16"/>
    <w:bookmarkStart w:id="17" w:name="run-the-core-analysis"/>
    <w:p>
      <w:pPr>
        <w:pStyle w:val="Heading3"/>
      </w:pPr>
      <w:r>
        <w:t xml:space="preserve">Run the Core Analysis</w:t>
      </w:r>
    </w:p>
    <w:p>
      <w:pPr>
        <w:pStyle w:val="FirstParagraph"/>
      </w:pPr>
      <w:r>
        <w:t xml:space="preserve">This is the moment where the notebook tests its central assumption on actual data. After applying</w:t>
      </w:r>
      <w:r>
        <w:t xml:space="preserve"> </w:t>
      </w:r>
      <w:r>
        <w:rPr>
          <w:rStyle w:val="VerbatimChar"/>
        </w:rPr>
        <w:t xml:space="preserve">hcp_cf_arima</w:t>
      </w:r>
      <w:r>
        <w:t xml:space="preserve">, the question is whether the resulting change-point candidates correspond to the residual pattern described above rather than to arbitrary numerical variation.</w:t>
      </w:r>
    </w:p>
    <w:p>
      <w:pPr>
        <w:pStyle w:val="SourceCode"/>
      </w:pPr>
      <w:r>
        <w:rPr>
          <w:rStyle w:val="CommentTok"/>
        </w:rPr>
        <w:t xml:space="preserve"># Run detection</w:t>
      </w:r>
      <w:r>
        <w:br/>
      </w:r>
      <w:r>
        <w:rPr>
          <w:rStyle w:val="NormalTok"/>
        </w:rPr>
        <w:t xml:space="preserve">detection </w:t>
      </w:r>
      <w:r>
        <w:rPr>
          <w:rStyle w:val="OtherTok"/>
        </w:rPr>
        <w:t xml:space="preserve">&lt;-</w:t>
      </w:r>
      <w:r>
        <w:rPr>
          <w:rStyle w:val="NormalTok"/>
        </w:rPr>
        <w:t xml:space="preserve"> </w:t>
      </w:r>
      <w:r>
        <w:rPr>
          <w:rStyle w:val="FunctionTok"/>
        </w:rPr>
        <w:t xml:space="preserve">detect</w:t>
      </w:r>
      <w:r>
        <w:rPr>
          <w:rStyle w:val="NormalTok"/>
        </w:rPr>
        <w:t xml:space="preserve">(model, dataset</w:t>
      </w:r>
      <w:r>
        <w:rPr>
          <w:rStyle w:val="SpecialCharTok"/>
        </w:rPr>
        <w:t xml:space="preserve">$</w:t>
      </w:r>
      <w:r>
        <w:rPr>
          <w:rStyle w:val="NormalTok"/>
        </w:rPr>
        <w:t xml:space="preserve">serie)</w:t>
      </w:r>
    </w:p>
    <w:p>
      <w:pPr>
        <w:pStyle w:val="SourceCode"/>
      </w:pPr>
      <w:r>
        <w:rPr>
          <w:rStyle w:val="CommentTok"/>
        </w:rPr>
        <w:t xml:space="preserve"># Show detected change points</w:t>
      </w:r>
      <w:r>
        <w:br/>
      </w:r>
      <w:r>
        <w:rPr>
          <w:rStyle w:val="FunctionTok"/>
        </w:rPr>
        <w:t xml:space="preserve">print</w:t>
      </w:r>
      <w:r>
        <w:rPr>
          <w:rStyle w:val="NormalTok"/>
        </w:rPr>
        <w:t xml:space="preserve">(detection </w:t>
      </w:r>
      <w:r>
        <w:rPr>
          <w:rStyle w:val="SpecialCharTok"/>
        </w:rPr>
        <w:t xml:space="preserve">|&gt;</w:t>
      </w:r>
      <w:r>
        <w:rPr>
          <w:rStyle w:val="NormalTok"/>
        </w:rPr>
        <w:t xml:space="preserve"> dplyr</w:t>
      </w:r>
      <w:r>
        <w:rPr>
          <w:rStyle w:val="SpecialCharTok"/>
        </w:rPr>
        <w:t xml:space="preserve">::</w:t>
      </w:r>
      <w:r>
        <w:rPr>
          <w:rStyle w:val="FunctionTok"/>
        </w:rPr>
        <w:t xml:space="preserve">filter</w:t>
      </w:r>
      <w:r>
        <w:rPr>
          <w:rStyle w:val="NormalTok"/>
        </w:rPr>
        <w:t xml:space="preserve">(event </w:t>
      </w:r>
      <w:r>
        <w:rPr>
          <w:rStyle w:val="SpecialCharTok"/>
        </w:rPr>
        <w:t xml:space="preserve">==</w:t>
      </w:r>
      <w:r>
        <w:rPr>
          <w:rStyle w:val="NormalTok"/>
        </w:rPr>
        <w:t xml:space="preserve"> </w:t>
      </w:r>
      <w:r>
        <w:rPr>
          <w:rStyle w:val="ConstantTok"/>
        </w:rPr>
        <w:t xml:space="preserve">TRUE</w:t>
      </w:r>
      <w:r>
        <w:rPr>
          <w:rStyle w:val="NormalTok"/>
        </w:rPr>
        <w:t xml:space="preserve">))</w:t>
      </w:r>
    </w:p>
    <w:p>
      <w:pPr>
        <w:pStyle w:val="SourceCode"/>
      </w:pPr>
      <w:r>
        <w:rPr>
          <w:rStyle w:val="VerbatimChar"/>
        </w:rPr>
        <w:t xml:space="preserve">##   idx event    type</w:t>
      </w:r>
      <w:r>
        <w:br/>
      </w:r>
      <w:r>
        <w:rPr>
          <w:rStyle w:val="VerbatimChar"/>
        </w:rPr>
        <w:t xml:space="preserve">## 1  51  TRUE anomaly</w:t>
      </w:r>
    </w:p>
    <w:bookmarkEnd w:id="17"/>
    <w:bookmarkStart w:id="18" w:name="evaluate-what-was-found"/>
    <w:p>
      <w:pPr>
        <w:pStyle w:val="Heading3"/>
      </w:pPr>
      <w:r>
        <w:t xml:space="preserve">Evaluate What Was Found</w:t>
      </w:r>
    </w:p>
    <w:p>
      <w:pPr>
        <w:pStyle w:val="FirstParagraph"/>
      </w:pPr>
      <w:r>
        <w:t xml:space="preserve">The evaluation asks whether the change-point candidates produced by</w:t>
      </w:r>
      <w:r>
        <w:t xml:space="preserve"> </w:t>
      </w:r>
      <w:r>
        <w:rPr>
          <w:rStyle w:val="VerbatimChar"/>
        </w:rPr>
        <w:t xml:space="preserve">harutils()</w:t>
      </w:r>
      <w:r>
        <w:t xml:space="preserve"> </w:t>
      </w:r>
      <w:r>
        <w:t xml:space="preserve">match the labeled structure on this dataset. Read the scores as evidence about the method’s assumptions in practice, not as detached summary numbers.</w:t>
      </w:r>
    </w:p>
    <w:p>
      <w:pPr>
        <w:pStyle w:val="SourceCode"/>
      </w:pPr>
      <w:r>
        <w:rPr>
          <w:rStyle w:val="CommentTok"/>
        </w:rPr>
        <w:t xml:space="preserve"># Evaluate detections against labels</w:t>
      </w:r>
      <w:r>
        <w:br/>
      </w:r>
      <w:r>
        <w:rPr>
          <w:rStyle w:val="NormalTok"/>
        </w:rPr>
        <w:t xml:space="preserve">evaluation </w:t>
      </w:r>
      <w:r>
        <w:rPr>
          <w:rStyle w:val="OtherTok"/>
        </w:rPr>
        <w:t xml:space="preserve">&lt;-</w:t>
      </w:r>
      <w:r>
        <w:rPr>
          <w:rStyle w:val="NormalTok"/>
        </w:rPr>
        <w:t xml:space="preserve"> </w:t>
      </w:r>
      <w:r>
        <w:rPr>
          <w:rStyle w:val="FunctionTok"/>
        </w:rPr>
        <w:t xml:space="preserve">evaluate</w:t>
      </w:r>
      <w:r>
        <w:rPr>
          <w:rStyle w:val="NormalTok"/>
        </w:rPr>
        <w:t xml:space="preserve">(model, detection</w:t>
      </w:r>
      <w:r>
        <w:rPr>
          <w:rStyle w:val="SpecialCharTok"/>
        </w:rPr>
        <w:t xml:space="preserve">$</w:t>
      </w:r>
      <w:r>
        <w:rPr>
          <w:rStyle w:val="NormalTok"/>
        </w:rPr>
        <w:t xml:space="preserve">event, dataset</w:t>
      </w:r>
      <w:r>
        <w:rPr>
          <w:rStyle w:val="SpecialCharTok"/>
        </w:rPr>
        <w:t xml:space="preserve">$</w:t>
      </w:r>
      <w:r>
        <w:rPr>
          <w:rStyle w:val="NormalTok"/>
        </w:rPr>
        <w:t xml:space="preserve">event)</w:t>
      </w:r>
      <w:r>
        <w:br/>
      </w:r>
      <w:r>
        <w:rPr>
          <w:rStyle w:val="FunctionTok"/>
        </w:rPr>
        <w:t xml:space="preserve">print</w:t>
      </w:r>
      <w:r>
        <w:rPr>
          <w:rStyle w:val="NormalTok"/>
        </w:rPr>
        <w:t xml:space="preserve">(evaluation</w:t>
      </w:r>
      <w:r>
        <w:rPr>
          <w:rStyle w:val="SpecialCharTok"/>
        </w:rPr>
        <w:t xml:space="preserve">$</w:t>
      </w:r>
      <w:r>
        <w:rPr>
          <w:rStyle w:val="NormalTok"/>
        </w:rPr>
        <w:t xml:space="preserve">confMatrix)</w:t>
      </w:r>
    </w:p>
    <w:p>
      <w:pPr>
        <w:pStyle w:val="SourceCode"/>
      </w:pPr>
      <w:r>
        <w:rPr>
          <w:rStyle w:val="VerbatimChar"/>
        </w:rPr>
        <w:t xml:space="preserve">##           event      </w:t>
      </w:r>
      <w:r>
        <w:br/>
      </w:r>
      <w:r>
        <w:rPr>
          <w:rStyle w:val="VerbatimChar"/>
        </w:rPr>
        <w:t xml:space="preserve">## detection TRUE  FALSE</w:t>
      </w:r>
      <w:r>
        <w:br/>
      </w:r>
      <w:r>
        <w:rPr>
          <w:rStyle w:val="VerbatimChar"/>
        </w:rPr>
        <w:t xml:space="preserve">## TRUE      0     1    </w:t>
      </w:r>
      <w:r>
        <w:br/>
      </w:r>
      <w:r>
        <w:rPr>
          <w:rStyle w:val="VerbatimChar"/>
        </w:rPr>
        <w:t xml:space="preserve">## FALSE     1     99</w:t>
      </w:r>
    </w:p>
    <w:bookmarkEnd w:id="18"/>
    <w:bookmarkStart w:id="25" w:name="interpret-the-result-visually-1"/>
    <w:p>
      <w:pPr>
        <w:pStyle w:val="Heading3"/>
      </w:pPr>
      <w:r>
        <w:t xml:space="preserve">Interpret the Result Visually</w:t>
      </w:r>
    </w:p>
    <w:p>
      <w:pPr>
        <w:pStyle w:val="FirstParagraph"/>
      </w:pPr>
      <w:r>
        <w:t xml:space="preserve">This visual check puts the model output back on top of the original signal. What matters now is whether the highlighted change-point candidates line up with the structure suggested by the method, which is the real semantic test of whether the example is teaching the right lesson.</w:t>
      </w:r>
    </w:p>
    <w:p>
      <w:pPr>
        <w:pStyle w:val="SourceCode"/>
      </w:pPr>
      <w:r>
        <w:rPr>
          <w:rStyle w:val="CommentTok"/>
        </w:rPr>
        <w:t xml:space="preserve"># Plot detections vs. ground truth</w:t>
      </w:r>
      <w:r>
        <w:br/>
      </w:r>
      <w:r>
        <w:rPr>
          <w:rStyle w:val="FunctionTok"/>
        </w:rPr>
        <w:t xml:space="preserve">har_plot</w:t>
      </w:r>
      <w:r>
        <w:rPr>
          <w:rStyle w:val="NormalTok"/>
        </w:rPr>
        <w:t xml:space="preserve">(model, dataset</w:t>
      </w:r>
      <w:r>
        <w:rPr>
          <w:rStyle w:val="SpecialCharTok"/>
        </w:rPr>
        <w:t xml:space="preserve">$</w:t>
      </w:r>
      <w:r>
        <w:rPr>
          <w:rStyle w:val="NormalTok"/>
        </w:rPr>
        <w:t xml:space="preserve">serie, detection, dataset</w:t>
      </w:r>
      <w:r>
        <w:rPr>
          <w:rStyle w:val="SpecialCharTok"/>
        </w:rPr>
        <w:t xml:space="preserve">$</w:t>
      </w:r>
      <w:r>
        <w:rPr>
          <w:rStyle w:val="NormalTok"/>
        </w:rPr>
        <w:t xml:space="preserve">event)</w:t>
      </w:r>
    </w:p>
    <w:p>
      <w:pPr>
        <w:pStyle w:val="FirstParagraph"/>
      </w:pPr>
      <w:r>
        <w:drawing>
          <wp:inline>
            <wp:extent cx="4620126" cy="3696101"/>
            <wp:effectExtent b="0" l="0" r="0" t="0"/>
            <wp:docPr descr="" title="" id="20" name="Picture"/>
            <a:graphic>
              <a:graphicData uri="http://schemas.openxmlformats.org/drawingml/2006/picture">
                <pic:pic>
                  <pic:nvPicPr>
                    <pic:cNvPr descr="C:\Git\dal\harbinger\examples\change_point\doc\07-changefinder-hcp_cf_arima_files/5bf742590fb863a6432559fc60234be08c22e684.png" id="21" name="Picture"/>
                    <pic:cNvPicPr>
                      <a:picLocks noChangeArrowheads="1" noChangeAspect="1"/>
                    </pic:cNvPicPr>
                  </pic:nvPicPr>
                  <pic:blipFill>
                    <a:blip r:embed="rId19"/>
                    <a:stretch>
                      <a:fillRect/>
                    </a:stretch>
                  </pic:blipFill>
                  <pic:spPr bwMode="auto">
                    <a:xfrm>
                      <a:off x="0" y="0"/>
                      <a:ext cx="4620126" cy="3696101"/>
                    </a:xfrm>
                    <a:prstGeom prst="rect">
                      <a:avLst/>
                    </a:prstGeom>
                    <a:noFill/>
                    <a:ln w="9525">
                      <a:noFill/>
                      <a:headEnd/>
                      <a:tailEnd/>
                    </a:ln>
                  </pic:spPr>
                </pic:pic>
              </a:graphicData>
            </a:graphic>
          </wp:inline>
        </w:drawing>
      </w:r>
    </w:p>
    <w:p>
      <w:pPr>
        <w:pStyle w:val="SourceCode"/>
      </w:pPr>
      <w:r>
        <w:rPr>
          <w:rStyle w:val="CommentTok"/>
        </w:rPr>
        <w:t xml:space="preserve"># Plot residual magnitude and decision thresholds</w:t>
      </w:r>
      <w:r>
        <w:br/>
      </w:r>
      <w:r>
        <w:rPr>
          <w:rStyle w:val="FunctionTok"/>
        </w:rPr>
        <w:t xml:space="preserve">har_plot</w:t>
      </w:r>
      <w:r>
        <w:rPr>
          <w:rStyle w:val="NormalTok"/>
        </w:rPr>
        <w:t xml:space="preserve">(model, </w:t>
      </w:r>
      <w:r>
        <w:rPr>
          <w:rStyle w:val="FunctionTok"/>
        </w:rPr>
        <w:t xml:space="preserve">attr</w:t>
      </w:r>
      <w:r>
        <w:rPr>
          <w:rStyle w:val="NormalTok"/>
        </w:rPr>
        <w:t xml:space="preserve">(detection, </w:t>
      </w:r>
      <w:r>
        <w:rPr>
          <w:rStyle w:val="StringTok"/>
        </w:rPr>
        <w:t xml:space="preserve">"res"</w:t>
      </w:r>
      <w:r>
        <w:rPr>
          <w:rStyle w:val="NormalTok"/>
        </w:rPr>
        <w:t xml:space="preserve">), detection, dataset</w:t>
      </w:r>
      <w:r>
        <w:rPr>
          <w:rStyle w:val="SpecialCharTok"/>
        </w:rPr>
        <w:t xml:space="preserve">$</w:t>
      </w:r>
      <w:r>
        <w:rPr>
          <w:rStyle w:val="NormalTok"/>
        </w:rPr>
        <w:t xml:space="preserve">event, </w:t>
      </w:r>
      <w:r>
        <w:rPr>
          <w:rStyle w:val="AttributeTok"/>
        </w:rPr>
        <w:t xml:space="preserve">yline =</w:t>
      </w:r>
      <w:r>
        <w:rPr>
          <w:rStyle w:val="NormalTok"/>
        </w:rPr>
        <w:t xml:space="preserve"> </w:t>
      </w:r>
      <w:r>
        <w:rPr>
          <w:rStyle w:val="FunctionTok"/>
        </w:rPr>
        <w:t xml:space="preserve">attr</w:t>
      </w:r>
      <w:r>
        <w:rPr>
          <w:rStyle w:val="NormalTok"/>
        </w:rPr>
        <w:t xml:space="preserve">(detection, </w:t>
      </w:r>
      <w:r>
        <w:rPr>
          <w:rStyle w:val="StringTok"/>
        </w:rPr>
        <w:t xml:space="preserve">"threshold"</w:t>
      </w:r>
      <w:r>
        <w:rPr>
          <w:rStyle w:val="NormalTok"/>
        </w:rPr>
        <w:t xml:space="preserve">))</w:t>
      </w:r>
    </w:p>
    <w:p>
      <w:pPr>
        <w:pStyle w:val="FirstParagraph"/>
      </w:pPr>
      <w:r>
        <w:drawing>
          <wp:inline>
            <wp:extent cx="4620126" cy="3696101"/>
            <wp:effectExtent b="0" l="0" r="0" t="0"/>
            <wp:docPr descr="" title="" id="23" name="Picture"/>
            <a:graphic>
              <a:graphicData uri="http://schemas.openxmlformats.org/drawingml/2006/picture">
                <pic:pic>
                  <pic:nvPicPr>
                    <pic:cNvPr descr="C:\Git\dal\harbinger\examples\change_point\doc\07-changefinder-hcp_cf_arima_files/cfef06fe78aa7cf7e7d279c9850ded525a8c6867.png" id="24" name="Picture"/>
                    <pic:cNvPicPr>
                      <a:picLocks noChangeArrowheads="1" noChangeAspect="1"/>
                    </pic:cNvPicPr>
                  </pic:nvPicPr>
                  <pic:blipFill>
                    <a:blip r:embed="rId22"/>
                    <a:stretch>
                      <a:fillRect/>
                    </a:stretch>
                  </pic:blipFill>
                  <pic:spPr bwMode="auto">
                    <a:xfrm>
                      <a:off x="0" y="0"/>
                      <a:ext cx="4620126" cy="3696101"/>
                    </a:xfrm>
                    <a:prstGeom prst="rect">
                      <a:avLst/>
                    </a:prstGeom>
                    <a:noFill/>
                    <a:ln w="9525">
                      <a:noFill/>
                      <a:headEnd/>
                      <a:tailEnd/>
                    </a:ln>
                  </pic:spPr>
                </pic:pic>
              </a:graphicData>
            </a:graphic>
          </wp:inline>
        </w:drawing>
      </w:r>
    </w:p>
    <w:bookmarkEnd w:id="25"/>
    <w:bookmarkEnd w:id="26"/>
    <w:bookmarkStart w:id="28" w:name="references"/>
    <w:p>
      <w:pPr>
        <w:pStyle w:val="Heading2"/>
      </w:pPr>
      <w:r>
        <w:t xml:space="preserve">References</w:t>
      </w:r>
    </w:p>
    <w:p>
      <w:pPr>
        <w:pStyle w:val="Compact"/>
        <w:numPr>
          <w:ilvl w:val="0"/>
          <w:numId w:val="1002"/>
        </w:numPr>
      </w:pPr>
      <w:r>
        <w:t xml:space="preserve">Takeuchi, J., Yamanishi, K. (2006). A unifying framework for detecting outliers and change points from time series. IEEE TKDE.</w:t>
      </w:r>
      <w:r>
        <w:t xml:space="preserve"> </w:t>
      </w:r>
      <w:hyperlink r:id="rId27">
        <w:r>
          <w:rPr>
            <w:rStyle w:val="Hyperlink"/>
          </w:rPr>
          <w:t xml:space="preserve">doi:10.1109/TKDE.2006.1599387</w:t>
        </w:r>
      </w:hyperlink>
    </w:p>
    <w:bookmarkEnd w:id="28"/>
    <w:sectPr>
      <w:footnotePr>
        <w:numRestart w:val="eachSect"/>
      </w:footnotePr>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Aptos">
    <w:panose1 w:val="020B0004020202020204"/>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Aptos Display">
    <w:panose1 w:val="020B0004020202020204"/>
    <w:charset w:val="00"/>
    <w:family w:val="swiss"/>
    <w:pitch w:val="variable"/>
    <w:sig w:usb0="20000287" w:usb1="00000003" w:usb2="00000000" w:usb3="00000000" w:csb0="0000019F" w:csb1="00000000"/>
  </w:font>
  <w:font w:name="Cambria Math">
    <w:panose1 w:val="02040503050406030204"/>
    <w:charset w:val="00"/>
    <w:family w:val="roman"/>
    <w:pitch w:val="variable"/>
    <w:sig w:usb0="E00002FF" w:usb1="420024FF" w:usb2="00000000" w:usb3="00000000" w:csb0="0000019F" w:csb1="00000000"/>
  </w:font>
  <w:font w:name="Courier New">
    <w:panose1 w:val="02070309020205020404"/>
    <w:charset w:val="00"/>
    <w:family w:val="modern"/>
    <w:pitch w:val="fixed"/>
    <w:sig w:usb0="E0002AFF" w:usb1="C0007843" w:usb2="00000009" w:usb3="00000000" w:csb0="000001FF" w:csb1="00000000"/>
  </w:font>
  <w:font w:name="Cambria">
    <w:panose1 w:val="02040503050406030204"/>
    <w:charset w:val="00"/>
    <w:family w:val="roman"/>
    <w:pitch w:val="variable"/>
    <w:sig w:usb0="E00002FF" w:usb1="400004FF" w:usb2="00000000" w:usb3="00000000" w:csb0="0000019F" w:csb1="00000000"/>
  </w:font>
  <w:font w:name="Calibri">
    <w:panose1 w:val="020F0502020204030204"/>
    <w:charset w:val="00"/>
    <w:family w:val="swiss"/>
    <w:pitch w:val="variable"/>
    <w:sig w:usb0="E0002AFF" w:usb1="C000247B" w:usb2="00000009" w:usb3="00000000" w:csb0="000001FF"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abstractNum w:abstractNumId="991">
    <w:nsid w:val="0000A991"/>
    <w:multiLevelType w:val="multilevel"/>
    <w:lvl w:ilvl="0">
      <w:numFmt w:val="bullet"/>
      <w:lvlText w:val=""/>
      <w:lvlJc w:val="left"/>
      <w:pPr>
        <w:ind w:left="720" w:hanging="360"/>
      </w:pPr>
      <w:rPr>
        <w:rFonts w:ascii="Symbol" w:hAnsi="Symbol" w:cs="Symbol" w:hint="default"/>
      </w:rPr>
    </w:lvl>
    <w:lvl w:ilvl="1">
      <w:numFmt w:val="bullet"/>
      <w:lvlText w:val="o"/>
      <w:lvlJc w:val="left"/>
      <w:pPr>
        <w:ind w:left="1440" w:hanging="360"/>
      </w:pPr>
      <w:rPr>
        <w:rFonts w:ascii="Courier New" w:hAnsi="Courier New" w:cs="Courier New" w:hint="default"/>
      </w:rPr>
    </w:lvl>
    <w:lvl w:ilvl="2">
      <w:numFmt w:val="bullet"/>
      <w:lvlText w:val=""/>
      <w:lvlJc w:val="left"/>
      <w:pPr>
        <w:ind w:left="2160" w:hanging="360"/>
      </w:pPr>
      <w:rPr>
        <w:rFonts w:ascii="Wingdings" w:hAnsi="Wingdings" w:cs="Wingdings" w:hint="default"/>
      </w:rPr>
    </w:lvl>
    <w:lvl w:ilvl="3">
      <w:numFmt w:val="bullet"/>
      <w:lvlText w:val=""/>
      <w:lvlJc w:val="left"/>
      <w:pPr>
        <w:ind w:left="2880" w:hanging="360"/>
      </w:pPr>
      <w:rPr>
        <w:rFonts w:ascii="Symbol" w:hAnsi="Symbol" w:cs="Symbol" w:hint="default"/>
      </w:rPr>
    </w:lvl>
    <w:lvl w:ilvl="4">
      <w:numFmt w:val="bullet"/>
      <w:lvlText w:val="o"/>
      <w:lvlJc w:val="left"/>
      <w:pPr>
        <w:ind w:left="3600" w:hanging="360"/>
      </w:pPr>
      <w:rPr>
        <w:rFonts w:ascii="Courier New" w:hAnsi="Courier New" w:cs="Courier New" w:hint="default"/>
      </w:rPr>
    </w:lvl>
    <w:lvl w:ilvl="5">
      <w:numFmt w:val="bullet"/>
      <w:lvlText w:val=""/>
      <w:lvlJc w:val="left"/>
      <w:pPr>
        <w:ind w:left="4320" w:hanging="360"/>
      </w:pPr>
      <w:rPr>
        <w:rFonts w:ascii="Wingdings" w:hAnsi="Wingdings" w:cs="Wingdings" w:hint="default"/>
      </w:rPr>
    </w:lvl>
    <w:lvl w:ilvl="6">
      <w:numFmt w:val="bullet"/>
      <w:lvlText w:val=""/>
      <w:lvlJc w:val="left"/>
      <w:pPr>
        <w:ind w:left="5040" w:hanging="360"/>
      </w:pPr>
      <w:rPr>
        <w:rFonts w:ascii="Symbol" w:hAnsi="Symbol" w:cs="Symbol" w:hint="default"/>
      </w:rPr>
    </w:lvl>
    <w:lvl w:ilvl="7">
      <w:numFmt w:val="bullet"/>
      <w:lvlText w:val="o"/>
      <w:lvlJc w:val="left"/>
      <w:pPr>
        <w:ind w:left="5760" w:hanging="360"/>
      </w:pPr>
      <w:rPr>
        <w:rFonts w:ascii="Courier New" w:hAnsi="Courier New" w:cs="Courier New" w:hint="default"/>
      </w:rPr>
    </w:lvl>
    <w:lvl w:ilvl="8">
      <w:numFmt w:val="bullet"/>
      <w:lvlText w:val=""/>
      <w:lvlJc w:val="left"/>
      <w:pPr>
        <w:ind w:left="6480" w:hanging="360"/>
      </w:pPr>
      <w:rPr>
        <w:rFonts w:ascii="Wingdings" w:hAnsi="Wingdings" w:cs="Wingdings" w:hint="default"/>
      </w:rPr>
    </w:lvl>
  </w:abstractNum>
  <w:num w:numId="1000">
    <w:abstractNumId w:val="990"/>
  </w:num>
  <w:num w:numId="1001">
    <w:abstractNumId w:val="991"/>
  </w:num>
  <w:num w:numId="1002">
    <w:abstractNumId w:val="991"/>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100"/>
  <w:embedSystemFonts/>
  <w:proofState w:grammar="clean" w:spelling="clean"/>
  <w:stylePaneFormatFilter w:val="0004"/>
  <w:doNotTrackMoves/>
  <w:defaultTabStop w:val="720"/>
  <w:drawingGridHorizontalSpacing w:val="360"/>
  <w:drawingGridVerticalSpacing w:val="360"/>
  <w:displayHorizontalDrawingGridEvery w:val="0"/>
  <w:displayVerticalDrawingGridEvery w:val="0"/>
  <w:characterSpacingControl w:val="doNotCompress"/>
  <w:savePreviewPicture/>
  <w:rsids>
  </w:rsids>
  <w:themeFontLang w:val="en-US"/>
  <w:clrSchemeMapping w:accent1="accent1" w:accent2="accent2" w:accent3="accent3" w:accent4="accent4" w:accent5="accent5" w:accent6="accent6" w:bg1="light1" w:bg2="light2" w:followedHyperlink="followedHyperlink" w:hyperlink="hyperlink" w:t1="dark1" w:t2="dark2"/>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EastAsia" w:hAnsiTheme="minorHAnsi"/>
        <w:sz w:val="24"/>
        <w:szCs w:val="24"/>
        <w:lang w:bidi="ar-SA" w:eastAsia="zh-CN" w:val="en-US"/>
      </w:rPr>
    </w:rPrDefault>
    <w:pPrDefault>
      <w:pPr>
        <w:spacing w:after="200"/>
      </w:pPr>
    </w:pPrDefault>
  </w:docDefaults>
  <w:latentStyles w:count="276" w:defLockedState="0" w:defQFormat="0" w:defSemiHidden="0" w:defUIPriority="0" w:defUnhideWhenUsed="0"/>
  <w:style w:default="1" w:styleId="Normal" w:type="paragraph">
    <w:name w:val="Normal"/>
    <w:qFormat/>
  </w:style>
  <w:style w:styleId="BodyText" w:type="paragraph">
    <w:name w:val="Body Text"/>
    <w:basedOn w:val="Normal"/>
    <w:link w:val="BodyTextChar"/>
    <w:qFormat/>
    <w:pPr>
      <w:spacing w:after="180" w:before="180"/>
    </w:pPr>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link w:val="TitleChar"/>
    <w:uiPriority w:val="10"/>
    <w:qFormat/>
    <w:rsid w:val="00A10FD9"/>
    <w:pPr>
      <w:spacing w:after="80" w:line="240" w:lineRule="auto"/>
      <w:contextualSpacing/>
      <w:jc w:val="center"/>
    </w:pPr>
    <w:rPr>
      <w:rFonts w:asciiTheme="majorHAnsi" w:cstheme="majorBidi" w:eastAsiaTheme="majorEastAsia" w:hAnsiTheme="majorHAnsi"/>
      <w:sz w:val="56"/>
      <w:szCs w:val="56"/>
    </w:rPr>
  </w:style>
  <w:style w:customStyle="1" w:styleId="TitleChar" w:type="character">
    <w:name w:val="Title Char"/>
    <w:basedOn w:val="DefaultParagraphFont"/>
    <w:link w:val="Title"/>
    <w:uiPriority w:val="10"/>
    <w:rsid w:val="00A10FD9"/>
    <w:rPr>
      <w:rFonts w:asciiTheme="majorHAnsi" w:cstheme="majorBidi" w:eastAsiaTheme="majorEastAsia" w:hAnsiTheme="majorHAnsi"/>
      <w:sz w:val="56"/>
      <w:szCs w:val="56"/>
    </w:rPr>
  </w:style>
  <w:style w:styleId="Subtitle" w:type="paragraph">
    <w:name w:val="Subtitle"/>
    <w:basedOn w:val="Title"/>
    <w:next w:val="BodyText"/>
    <w:link w:val="SubtitleChar"/>
    <w:uiPriority w:val="11"/>
    <w:qFormat/>
    <w:rsid w:val="00A10FD9"/>
    <w:pPr>
      <w:numPr>
        <w:ilvl w:val="1"/>
      </w:numPr>
    </w:pPr>
    <w:rPr>
      <w:rFonts w:cstheme="majorBidi" w:eastAsiaTheme="majorEastAsia"/>
      <w:spacing w:val="15"/>
      <w:sz w:val="28"/>
      <w:szCs w:val="28"/>
    </w:rPr>
  </w:style>
  <w:style w:customStyle="1" w:styleId="SubtitleChar" w:type="character">
    <w:name w:val="Subtitle Char"/>
    <w:basedOn w:val="DefaultParagraphFont"/>
    <w:link w:val="Subtitle"/>
    <w:uiPriority w:val="11"/>
    <w:rsid w:val="00A10FD9"/>
    <w:rPr>
      <w:rFonts w:cstheme="majorBidi" w:eastAsiaTheme="majorEastAsia"/>
      <w:color w:themeColor="text1" w:themeTint="A6" w:val="595959"/>
      <w:spacing w:val="15"/>
      <w:sz w:val="28"/>
      <w:szCs w:val="28"/>
    </w:rPr>
  </w:style>
  <w:style w:customStyle="1" w:styleId="Author" w:type="paragraph">
    <w:name w:val="Author"/>
    <w:basedOn w:val="Title"/>
    <w:next w:val="BodyText"/>
    <w:qFormat/>
    <w:pPr>
      <w:keepNext/>
      <w:keepLines/>
    </w:pPr>
    <w:rPr>
      <w:sz w:val="24"/>
      <w:szCs w:val="24"/>
    </w:rPr>
  </w:style>
  <w:style w:styleId="Date" w:type="paragraph">
    <w:name w:val="Date"/>
    <w:basedOn w:val="Title"/>
    <w:next w:val="BodyText"/>
    <w:qFormat/>
    <w:pPr>
      <w:keepNext/>
      <w:keepLines/>
    </w:pPr>
    <w:rPr>
      <w:sz w:val="24"/>
      <w:szCs w:val="24"/>
    </w:rPr>
  </w:style>
  <w:style w:customStyle="1" w:styleId="AbstractTitle" w:type="paragraph">
    <w:name w:val="Abstract Title"/>
    <w:basedOn w:val="Normal"/>
    <w:next w:val="Abstract"/>
    <w:qFormat/>
    <w:pPr>
      <w:keepNext/>
      <w:keepLines/>
      <w:spacing w:after="0" w:before="300"/>
      <w:jc w:val="center"/>
    </w:pPr>
    <w:rPr>
      <w:b/>
      <w:sz w:val="20"/>
      <w:szCs w:val="20"/>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link w:val="Heading1Char"/>
    <w:uiPriority w:val="9"/>
    <w:qFormat/>
    <w:rsid w:val="00A10FD9"/>
    <w:pPr>
      <w:keepNext/>
      <w:keepLines/>
      <w:spacing w:after="80" w:before="360"/>
      <w:outlineLvl w:val="0"/>
    </w:pPr>
    <w:rPr>
      <w:rFonts w:asciiTheme="majorHAnsi" w:cstheme="majorBidi" w:eastAsiaTheme="majorEastAsia" w:hAnsiTheme="majorHAnsi"/>
      <w:color w:themeColor="accent1" w:themeShade="BF" w:val="0F4761"/>
      <w:sz w:val="40"/>
      <w:szCs w:val="40"/>
    </w:rPr>
  </w:style>
  <w:style w:styleId="Heading2" w:type="paragraph">
    <w:name w:val="heading 2"/>
    <w:basedOn w:val="Normal"/>
    <w:next w:val="BodyText"/>
    <w:link w:val="Heading2Char"/>
    <w:uiPriority w:val="9"/>
    <w:semiHidden/>
    <w:unhideWhenUsed/>
    <w:qFormat/>
    <w:rsid w:val="00A10FD9"/>
    <w:pPr>
      <w:keepNext/>
      <w:keepLines/>
      <w:spacing w:after="80" w:before="160"/>
      <w:outlineLvl w:val="1"/>
    </w:pPr>
    <w:rPr>
      <w:rFonts w:asciiTheme="majorHAnsi" w:cstheme="majorBidi" w:eastAsiaTheme="majorEastAsia" w:hAnsiTheme="majorHAnsi"/>
      <w:color w:themeColor="accent1" w:themeShade="BF" w:val="0F4761"/>
      <w:sz w:val="32"/>
      <w:szCs w:val="32"/>
    </w:rPr>
  </w:style>
  <w:style w:styleId="Heading3" w:type="paragraph">
    <w:name w:val="heading 3"/>
    <w:basedOn w:val="Normal"/>
    <w:next w:val="BodyText"/>
    <w:link w:val="Heading3Char"/>
    <w:uiPriority w:val="9"/>
    <w:semiHidden/>
    <w:unhideWhenUsed/>
    <w:qFormat/>
    <w:rsid w:val="00A10FD9"/>
    <w:pPr>
      <w:keepNext/>
      <w:keepLines/>
      <w:spacing w:after="80" w:before="160"/>
      <w:outlineLvl w:val="2"/>
    </w:pPr>
    <w:rPr>
      <w:rFonts w:cstheme="majorBidi" w:eastAsiaTheme="majorEastAsia"/>
      <w:color w:themeColor="accent1" w:themeShade="BF" w:val="0F4761"/>
      <w:sz w:val="28"/>
      <w:szCs w:val="28"/>
    </w:rPr>
  </w:style>
  <w:style w:styleId="Heading4" w:type="paragraph">
    <w:name w:val="heading 4"/>
    <w:basedOn w:val="Normal"/>
    <w:next w:val="BodyText"/>
    <w:link w:val="Heading4Char"/>
    <w:uiPriority w:val="9"/>
    <w:semiHidden/>
    <w:unhideWhenUsed/>
    <w:qFormat/>
    <w:rsid w:val="00A10FD9"/>
    <w:pPr>
      <w:keepNext/>
      <w:keepLines/>
      <w:spacing w:after="40" w:before="80"/>
      <w:outlineLvl w:val="3"/>
    </w:pPr>
    <w:rPr>
      <w:rFonts w:cstheme="majorBidi" w:eastAsiaTheme="majorEastAsia"/>
      <w:i/>
      <w:iCs/>
      <w:color w:themeColor="accent1" w:themeShade="BF" w:val="0F4761"/>
    </w:rPr>
  </w:style>
  <w:style w:styleId="Heading5" w:type="paragraph">
    <w:name w:val="heading 5"/>
    <w:basedOn w:val="Normal"/>
    <w:next w:val="BodyText"/>
    <w:link w:val="Heading5Char"/>
    <w:uiPriority w:val="9"/>
    <w:semiHidden/>
    <w:unhideWhenUsed/>
    <w:qFormat/>
    <w:rsid w:val="00A10FD9"/>
    <w:pPr>
      <w:keepNext/>
      <w:keepLines/>
      <w:spacing w:after="40" w:before="80"/>
      <w:outlineLvl w:val="4"/>
    </w:pPr>
    <w:rPr>
      <w:rFonts w:cstheme="majorBidi" w:eastAsiaTheme="majorEastAsia"/>
      <w:color w:themeColor="accent1" w:themeShade="BF" w:val="0F4761"/>
    </w:rPr>
  </w:style>
  <w:style w:styleId="Heading6" w:type="paragraph">
    <w:name w:val="heading 6"/>
    <w:basedOn w:val="Normal"/>
    <w:next w:val="BodyText"/>
    <w:link w:val="Heading6Char"/>
    <w:uiPriority w:val="9"/>
    <w:semiHidden/>
    <w:unhideWhenUsed/>
    <w:qFormat/>
    <w:rsid w:val="00A10FD9"/>
    <w:pPr>
      <w:keepNext/>
      <w:keepLines/>
      <w:spacing w:after="0" w:before="40"/>
      <w:outlineLvl w:val="5"/>
    </w:pPr>
    <w:rPr>
      <w:rFonts w:cstheme="majorBidi" w:eastAsiaTheme="majorEastAsia"/>
      <w:i/>
      <w:iCs/>
      <w:color w:themeColor="text1" w:themeTint="A6" w:val="595959"/>
    </w:rPr>
  </w:style>
  <w:style w:styleId="Heading7" w:type="paragraph">
    <w:name w:val="heading 7"/>
    <w:basedOn w:val="Normal"/>
    <w:next w:val="BodyText"/>
    <w:link w:val="Heading7Char"/>
    <w:uiPriority w:val="9"/>
    <w:semiHidden/>
    <w:unhideWhenUsed/>
    <w:qFormat/>
    <w:rsid w:val="00A10FD9"/>
    <w:pPr>
      <w:keepNext/>
      <w:keepLines/>
      <w:spacing w:after="0" w:before="40"/>
      <w:outlineLvl w:val="6"/>
    </w:pPr>
    <w:rPr>
      <w:rFonts w:cstheme="majorBidi" w:eastAsiaTheme="majorEastAsia"/>
      <w:color w:themeColor="text1" w:themeTint="A6" w:val="595959"/>
    </w:rPr>
  </w:style>
  <w:style w:styleId="Heading8" w:type="paragraph">
    <w:name w:val="heading 8"/>
    <w:basedOn w:val="Normal"/>
    <w:next w:val="BodyText"/>
    <w:link w:val="Heading8Char"/>
    <w:uiPriority w:val="9"/>
    <w:semiHidden/>
    <w:unhideWhenUsed/>
    <w:qFormat/>
    <w:rsid w:val="00A10FD9"/>
    <w:pPr>
      <w:keepNext/>
      <w:keepLines/>
      <w:spacing w:after="0"/>
      <w:outlineLvl w:val="7"/>
    </w:pPr>
    <w:rPr>
      <w:rFonts w:cstheme="majorBidi" w:eastAsiaTheme="majorEastAsia"/>
      <w:i/>
      <w:iCs/>
      <w:color w:themeColor="text1" w:themeTint="D8" w:val="272727"/>
    </w:rPr>
  </w:style>
  <w:style w:styleId="Heading9" w:type="paragraph">
    <w:name w:val="heading 9"/>
    <w:basedOn w:val="Normal"/>
    <w:next w:val="BodyText"/>
    <w:link w:val="Heading9Char"/>
    <w:uiPriority w:val="9"/>
    <w:semiHidden/>
    <w:unhideWhenUsed/>
    <w:qFormat/>
    <w:rsid w:val="00A10FD9"/>
    <w:pPr>
      <w:keepNext/>
      <w:keepLines/>
      <w:spacing w:after="0"/>
      <w:outlineLvl w:val="8"/>
    </w:pPr>
    <w:rPr>
      <w:rFonts w:cstheme="majorBidi" w:eastAsiaTheme="majorEastAsia"/>
      <w:color w:themeColor="text1" w:themeTint="D8" w:val="272727"/>
    </w:rPr>
  </w:style>
  <w:style w:customStyle="1" w:styleId="Heading1Char" w:type="character">
    <w:name w:val="Heading 1 Char"/>
    <w:basedOn w:val="DefaultParagraphFont"/>
    <w:link w:val="Heading1"/>
    <w:uiPriority w:val="9"/>
    <w:rsid w:val="00A10FD9"/>
    <w:rPr>
      <w:rFonts w:asciiTheme="majorHAnsi" w:cstheme="majorBidi" w:eastAsiaTheme="majorEastAsia" w:hAnsiTheme="majorHAnsi"/>
      <w:color w:themeColor="accent1" w:themeShade="BF" w:val="0F4761"/>
      <w:sz w:val="40"/>
      <w:szCs w:val="40"/>
    </w:rPr>
  </w:style>
  <w:style w:customStyle="1" w:styleId="Heading2Char" w:type="character">
    <w:name w:val="Heading 2 Char"/>
    <w:basedOn w:val="DefaultParagraphFont"/>
    <w:link w:val="Heading2"/>
    <w:uiPriority w:val="9"/>
    <w:semiHidden/>
    <w:rsid w:val="00A10FD9"/>
    <w:rPr>
      <w:rFonts w:asciiTheme="majorHAnsi" w:cstheme="majorBidi" w:eastAsiaTheme="majorEastAsia" w:hAnsiTheme="majorHAnsi"/>
      <w:color w:themeColor="accent1" w:themeShade="BF" w:val="0F4761"/>
      <w:sz w:val="32"/>
      <w:szCs w:val="32"/>
    </w:rPr>
  </w:style>
  <w:style w:customStyle="1" w:styleId="Heading3Char" w:type="character">
    <w:name w:val="Heading 3 Char"/>
    <w:basedOn w:val="DefaultParagraphFont"/>
    <w:link w:val="Heading3"/>
    <w:uiPriority w:val="9"/>
    <w:semiHidden/>
    <w:rsid w:val="00A10FD9"/>
    <w:rPr>
      <w:rFonts w:cstheme="majorBidi" w:eastAsiaTheme="majorEastAsia"/>
      <w:color w:themeColor="accent1" w:themeShade="BF" w:val="0F4761"/>
      <w:sz w:val="28"/>
      <w:szCs w:val="28"/>
    </w:rPr>
  </w:style>
  <w:style w:customStyle="1" w:styleId="Heading4Char" w:type="character">
    <w:name w:val="Heading 4 Char"/>
    <w:basedOn w:val="DefaultParagraphFont"/>
    <w:link w:val="Heading4"/>
    <w:uiPriority w:val="9"/>
    <w:semiHidden/>
    <w:rsid w:val="00A10FD9"/>
    <w:rPr>
      <w:rFonts w:cstheme="majorBidi" w:eastAsiaTheme="majorEastAsia"/>
      <w:i/>
      <w:iCs/>
      <w:color w:themeColor="accent1" w:themeShade="BF" w:val="0F4761"/>
    </w:rPr>
  </w:style>
  <w:style w:customStyle="1" w:styleId="Heading5Char" w:type="character">
    <w:name w:val="Heading 5 Char"/>
    <w:basedOn w:val="DefaultParagraphFont"/>
    <w:link w:val="Heading5"/>
    <w:uiPriority w:val="9"/>
    <w:semiHidden/>
    <w:rsid w:val="00A10FD9"/>
    <w:rPr>
      <w:rFonts w:cstheme="majorBidi" w:eastAsiaTheme="majorEastAsia"/>
      <w:color w:themeColor="accent1" w:themeShade="BF" w:val="0F4761"/>
    </w:rPr>
  </w:style>
  <w:style w:customStyle="1" w:styleId="Heading6Char" w:type="character">
    <w:name w:val="Heading 6 Char"/>
    <w:basedOn w:val="DefaultParagraphFont"/>
    <w:link w:val="Heading6"/>
    <w:uiPriority w:val="9"/>
    <w:semiHidden/>
    <w:rsid w:val="00A10FD9"/>
    <w:rPr>
      <w:rFonts w:cstheme="majorBidi" w:eastAsiaTheme="majorEastAsia"/>
      <w:i/>
      <w:iCs/>
      <w:color w:themeColor="text1" w:themeTint="A6" w:val="595959"/>
    </w:rPr>
  </w:style>
  <w:style w:customStyle="1" w:styleId="Heading7Char" w:type="character">
    <w:name w:val="Heading 7 Char"/>
    <w:basedOn w:val="DefaultParagraphFont"/>
    <w:link w:val="Heading7"/>
    <w:uiPriority w:val="9"/>
    <w:semiHidden/>
    <w:rsid w:val="00A10FD9"/>
    <w:rPr>
      <w:rFonts w:cstheme="majorBidi" w:eastAsiaTheme="majorEastAsia"/>
      <w:color w:themeColor="text1" w:themeTint="A6" w:val="595959"/>
    </w:rPr>
  </w:style>
  <w:style w:customStyle="1" w:styleId="Heading8Char" w:type="character">
    <w:name w:val="Heading 8 Char"/>
    <w:basedOn w:val="DefaultParagraphFont"/>
    <w:link w:val="Heading8"/>
    <w:uiPriority w:val="9"/>
    <w:semiHidden/>
    <w:rsid w:val="00A10FD9"/>
    <w:rPr>
      <w:rFonts w:cstheme="majorBidi" w:eastAsiaTheme="majorEastAsia"/>
      <w:i/>
      <w:iCs/>
      <w:color w:themeColor="text1" w:themeTint="D8" w:val="272727"/>
    </w:rPr>
  </w:style>
  <w:style w:customStyle="1" w:styleId="Heading9Char" w:type="character">
    <w:name w:val="Heading 9 Char"/>
    <w:basedOn w:val="DefaultParagraphFont"/>
    <w:link w:val="Heading9"/>
    <w:uiPriority w:val="9"/>
    <w:semiHidden/>
    <w:rsid w:val="00A10FD9"/>
    <w:rPr>
      <w:rFonts w:cstheme="majorBidi" w:eastAsiaTheme="majorEastAsia"/>
      <w:color w:themeColor="text1" w:themeTint="D8" w:val="272727"/>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styleId="FootnoteBlockText" w:type="paragraph">
    <w:name w:val="Footnote Block Text"/>
    <w:basedOn w:val="FootnoteText"/>
    <w:next w:val="FootnoteText"/>
    <w:uiPriority w:val="9"/>
    <w:unhideWhenUsed/>
    <w:qFormat/>
    <w:pPr>
      <w:spacing w:after="100" w:before="100"/>
      <w:ind w:firstLine="0" w:left="480" w:right="480"/>
    </w:pPr>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cPr>
        <w:tcBorders>
          <w:bottom w:val="single"/>
        </w:tcBorders>
        <w:vAlign w:val="bottom"/>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type="paragraph" w:customStyle="1" w:styleId="SourceCode">
    <w:name w:val="Source Code"/>
    <w:basedOn w:val="Normal"/>
    <w:link w:val="VerbatimChar"/>
    <w:pPr>
      <w:wordWrap w:val="off"/>
      <w:shd w:val="clear" w:fill="f8f8f8"/>
    </w:pPr>
  </w:style>
  <w:style w:type="character" w:customStyle="1" w:styleId="KeywordTok">
    <w:name w:val="KeywordTok"/>
    <w:basedOn w:val="VerbatimChar"/>
    <w:rPr>
      <w:b/>
      <w:color w:val="204a87"/>
      <w:shd w:val="clear" w:fill="f8f8f8"/>
    </w:rPr>
  </w:style>
  <w:style w:type="character" w:customStyle="1" w:styleId="DataTypeTok">
    <w:name w:val="DataTypeTok"/>
    <w:basedOn w:val="VerbatimChar"/>
    <w:rPr>
      <w:color w:val="204a87"/>
      <w:shd w:val="clear" w:fill="f8f8f8"/>
    </w:rPr>
  </w:style>
  <w:style w:type="character" w:customStyle="1" w:styleId="DecValTok">
    <w:name w:val="DecValTok"/>
    <w:basedOn w:val="VerbatimChar"/>
    <w:rPr>
      <w:color w:val="0000cf"/>
      <w:shd w:val="clear" w:fill="f8f8f8"/>
    </w:rPr>
  </w:style>
  <w:style w:type="character" w:customStyle="1" w:styleId="BaseNTok">
    <w:name w:val="BaseNTok"/>
    <w:basedOn w:val="VerbatimChar"/>
    <w:rPr>
      <w:color w:val="0000cf"/>
      <w:shd w:val="clear" w:fill="f8f8f8"/>
    </w:rPr>
  </w:style>
  <w:style w:type="character" w:customStyle="1" w:styleId="FloatTok">
    <w:name w:val="FloatTok"/>
    <w:basedOn w:val="VerbatimChar"/>
    <w:rPr>
      <w:color w:val="0000cf"/>
      <w:shd w:val="clear" w:fill="f8f8f8"/>
    </w:rPr>
  </w:style>
  <w:style w:type="character" w:customStyle="1" w:styleId="ConstantTok">
    <w:name w:val="ConstantTok"/>
    <w:basedOn w:val="VerbatimChar"/>
    <w:rPr>
      <w:color w:val="8f5902"/>
      <w:shd w:val="clear" w:fill="f8f8f8"/>
    </w:rPr>
  </w:style>
  <w:style w:type="character" w:customStyle="1" w:styleId="CharTok">
    <w:name w:val="CharTok"/>
    <w:basedOn w:val="VerbatimChar"/>
    <w:rPr>
      <w:color w:val="4e9a06"/>
      <w:shd w:val="clear" w:fill="f8f8f8"/>
    </w:rPr>
  </w:style>
  <w:style w:type="character" w:customStyle="1" w:styleId="SpecialCharTok">
    <w:name w:val="SpecialCharTok"/>
    <w:basedOn w:val="VerbatimChar"/>
    <w:rPr>
      <w:b/>
      <w:color w:val="ce5c00"/>
      <w:shd w:val="clear" w:fill="f8f8f8"/>
    </w:rPr>
  </w:style>
  <w:style w:type="character" w:customStyle="1" w:styleId="StringTok">
    <w:name w:val="StringTok"/>
    <w:basedOn w:val="VerbatimChar"/>
    <w:rPr>
      <w:color w:val="4e9a06"/>
      <w:shd w:val="clear" w:fill="f8f8f8"/>
    </w:rPr>
  </w:style>
  <w:style w:type="character" w:customStyle="1" w:styleId="VerbatimStringTok">
    <w:name w:val="VerbatimStringTok"/>
    <w:basedOn w:val="VerbatimChar"/>
    <w:rPr>
      <w:color w:val="4e9a06"/>
      <w:shd w:val="clear" w:fill="f8f8f8"/>
    </w:rPr>
  </w:style>
  <w:style w:type="character" w:customStyle="1" w:styleId="SpecialStringTok">
    <w:name w:val="SpecialStringTok"/>
    <w:basedOn w:val="VerbatimChar"/>
    <w:rPr>
      <w:color w:val="4e9a06"/>
      <w:shd w:val="clear" w:fill="f8f8f8"/>
    </w:rPr>
  </w:style>
  <w:style w:type="character" w:customStyle="1" w:styleId="ImportTok">
    <w:name w:val="ImportTok"/>
    <w:basedOn w:val="VerbatimChar"/>
    <w:rPr>
      <w:shd w:val="clear" w:fill="f8f8f8"/>
    </w:rPr>
  </w:style>
  <w:style w:type="character" w:customStyle="1" w:styleId="CommentTok">
    <w:name w:val="CommentTok"/>
    <w:basedOn w:val="VerbatimChar"/>
    <w:rPr>
      <w:i/>
      <w:color w:val="8f5902"/>
      <w:shd w:val="clear" w:fill="f8f8f8"/>
    </w:rPr>
  </w:style>
  <w:style w:type="character" w:customStyle="1" w:styleId="DocumentationTok">
    <w:name w:val="DocumentationTok"/>
    <w:basedOn w:val="VerbatimChar"/>
    <w:rPr>
      <w:b/>
      <w:i/>
      <w:color w:val="8f5902"/>
      <w:shd w:val="clear" w:fill="f8f8f8"/>
    </w:rPr>
  </w:style>
  <w:style w:type="character" w:customStyle="1" w:styleId="AnnotationTok">
    <w:name w:val="AnnotationTok"/>
    <w:basedOn w:val="VerbatimChar"/>
    <w:rPr>
      <w:b/>
      <w:i/>
      <w:color w:val="8f5902"/>
      <w:shd w:val="clear" w:fill="f8f8f8"/>
    </w:rPr>
  </w:style>
  <w:style w:type="character" w:customStyle="1" w:styleId="CommentVarTok">
    <w:name w:val="CommentVarTok"/>
    <w:basedOn w:val="VerbatimChar"/>
    <w:rPr>
      <w:b/>
      <w:i/>
      <w:color w:val="8f5902"/>
      <w:shd w:val="clear" w:fill="f8f8f8"/>
    </w:rPr>
  </w:style>
  <w:style w:type="character" w:customStyle="1" w:styleId="OtherTok">
    <w:name w:val="OtherTok"/>
    <w:basedOn w:val="VerbatimChar"/>
    <w:rPr>
      <w:color w:val="8f5902"/>
      <w:shd w:val="clear" w:fill="f8f8f8"/>
    </w:rPr>
  </w:style>
  <w:style w:type="character" w:customStyle="1" w:styleId="FunctionTok">
    <w:name w:val="FunctionTok"/>
    <w:basedOn w:val="VerbatimChar"/>
    <w:rPr>
      <w:b/>
      <w:color w:val="204a87"/>
      <w:shd w:val="clear" w:fill="f8f8f8"/>
    </w:rPr>
  </w:style>
  <w:style w:type="character" w:customStyle="1" w:styleId="VariableTok">
    <w:name w:val="VariableTok"/>
    <w:basedOn w:val="VerbatimChar"/>
    <w:rPr>
      <w:color w:val="000000"/>
      <w:shd w:val="clear" w:fill="f8f8f8"/>
    </w:rPr>
  </w:style>
  <w:style w:type="character" w:customStyle="1" w:styleId="ControlFlowTok">
    <w:name w:val="ControlFlowTok"/>
    <w:basedOn w:val="VerbatimChar"/>
    <w:rPr>
      <w:b/>
      <w:color w:val="204a87"/>
      <w:shd w:val="clear" w:fill="f8f8f8"/>
    </w:rPr>
  </w:style>
  <w:style w:type="character" w:customStyle="1" w:styleId="OperatorTok">
    <w:name w:val="OperatorTok"/>
    <w:basedOn w:val="VerbatimChar"/>
    <w:rPr>
      <w:b/>
      <w:color w:val="ce5c00"/>
      <w:shd w:val="clear" w:fill="f8f8f8"/>
    </w:rPr>
  </w:style>
  <w:style w:type="character" w:customStyle="1" w:styleId="BuiltInTok">
    <w:name w:val="BuiltInTok"/>
    <w:basedOn w:val="VerbatimChar"/>
    <w:rPr>
      <w:shd w:val="clear" w:fill="f8f8f8"/>
    </w:rPr>
  </w:style>
  <w:style w:type="character" w:customStyle="1" w:styleId="ExtensionTok">
    <w:name w:val="ExtensionTok"/>
    <w:basedOn w:val="VerbatimChar"/>
    <w:rPr>
      <w:shd w:val="clear" w:fill="f8f8f8"/>
    </w:rPr>
  </w:style>
  <w:style w:type="character" w:customStyle="1" w:styleId="PreprocessorTok">
    <w:name w:val="PreprocessorTok"/>
    <w:basedOn w:val="VerbatimChar"/>
    <w:rPr>
      <w:i/>
      <w:color w:val="8f5902"/>
      <w:shd w:val="clear" w:fill="f8f8f8"/>
    </w:rPr>
  </w:style>
  <w:style w:type="character" w:customStyle="1" w:styleId="AttributeTok">
    <w:name w:val="AttributeTok"/>
    <w:basedOn w:val="VerbatimChar"/>
    <w:rPr>
      <w:color w:val="204a87"/>
      <w:shd w:val="clear" w:fill="f8f8f8"/>
    </w:rPr>
  </w:style>
  <w:style w:type="character" w:customStyle="1" w:styleId="RegionMarkerTok">
    <w:name w:val="RegionMarkerTok"/>
    <w:basedOn w:val="VerbatimChar"/>
    <w:rPr>
      <w:shd w:val="clear" w:fill="f8f8f8"/>
    </w:rPr>
  </w:style>
  <w:style w:type="character" w:customStyle="1" w:styleId="InformationTok">
    <w:name w:val="InformationTok"/>
    <w:basedOn w:val="VerbatimChar"/>
    <w:rPr>
      <w:b/>
      <w:i/>
      <w:color w:val="8f5902"/>
      <w:shd w:val="clear" w:fill="f8f8f8"/>
    </w:rPr>
  </w:style>
  <w:style w:type="character" w:customStyle="1" w:styleId="WarningTok">
    <w:name w:val="WarningTok"/>
    <w:basedOn w:val="VerbatimChar"/>
    <w:rPr>
      <w:b/>
      <w:i/>
      <w:color w:val="8f5902"/>
      <w:shd w:val="clear" w:fill="f8f8f8"/>
    </w:rPr>
  </w:style>
  <w:style w:type="character" w:customStyle="1" w:styleId="AlertTok">
    <w:name w:val="AlertTok"/>
    <w:basedOn w:val="VerbatimChar"/>
    <w:rPr>
      <w:color w:val="ef2929"/>
      <w:shd w:val="clear" w:fill="f8f8f8"/>
    </w:rPr>
  </w:style>
  <w:style w:type="character" w:customStyle="1" w:styleId="ErrorTok">
    <w:name w:val="ErrorTok"/>
    <w:basedOn w:val="VerbatimChar"/>
    <w:rPr>
      <w:b/>
      <w:color w:val="a40000"/>
      <w:shd w:val="clear" w:fill="f8f8f8"/>
    </w:rPr>
  </w:style>
  <w:style w:type="character" w:customStyle="1" w:styleId="NormalTok">
    <w:name w:val="NormalTok"/>
    <w:basedOn w:val="VerbatimChar"/>
    <w:rPr>
      <w:shd w:val="clear" w:fill="f8f8f8"/>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8" Target="numbering.xml" /><Relationship Type="http://schemas.openxmlformats.org/officeDocument/2006/relationships/styles" Id="rId7" Target="styles.xml" /><Relationship Type="http://schemas.openxmlformats.org/officeDocument/2006/relationships/settings" Id="rId6" Target="settings.xml" /><Relationship Type="http://schemas.openxmlformats.org/officeDocument/2006/relationships/webSettings" Id="rId5" Target="webSettings.xml" /><Relationship Type="http://schemas.openxmlformats.org/officeDocument/2006/relationships/fontTable" Id="rId4" Target="fontTable.xml" /><Relationship Type="http://schemas.openxmlformats.org/officeDocument/2006/relationships/theme" Id="rId3" Target="theme/theme1.xml" /><Relationship Type="http://schemas.openxmlformats.org/officeDocument/2006/relationships/footnotes" Id="rId2" Target="footnotes.xml" /><Relationship Type="http://schemas.openxmlformats.org/officeDocument/2006/relationships/comments" Id="rId1" Target="comments.xml" /><Relationship Type="http://schemas.openxmlformats.org/officeDocument/2006/relationships/image" Id="rId19" Target="media/rId19.png" /><Relationship Type="http://schemas.openxmlformats.org/officeDocument/2006/relationships/image" Id="rId12" Target="media/rId12.png" /><Relationship Type="http://schemas.openxmlformats.org/officeDocument/2006/relationships/image" Id="rId22" Target="media/rId22.png" /><Relationship Type="http://schemas.openxmlformats.org/officeDocument/2006/relationships/hyperlink" Id="rId27" Target="doi:10.1109/TKDE.2006.1599387" TargetMode="External" /></Relationships>
</file>

<file path=word/_rels/footnotes.xml.rels><?xml version="1.0" encoding="UTF-8"?><Relationships xmlns="http://schemas.openxmlformats.org/package/2006/relationships"><Relationship Type="http://schemas.openxmlformats.org/officeDocument/2006/relationships/hyperlink" Id="rId27" Target="doi:10.1109/TKDE.2006.1599387" TargetMode="External" /></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creator/>
  <cp:keywords/>
  <dcterms:created xsi:type="dcterms:W3CDTF">2026-05-09T22:41:31Z</dcterms:created>
  <dcterms:modified xsi:type="dcterms:W3CDTF">2026-05-09T22:41:31Z</dcterms:modified>
</cp:coreProperties>
</file>

<file path=docProps/custom.xml><?xml version="1.0" encoding="utf-8"?>
<Properties xmlns="http://schemas.openxmlformats.org/officeDocument/2006/custom-properties" xmlns:vt="http://schemas.openxmlformats.org/officeDocument/2006/docPropsVTypes"/>
</file>