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hmo_mp("stamp", ...)</w:t>
      </w:r>
      <w:r>
        <w:t xml:space="preserve">. The semantic point is the one stated above: sTAMP motif discovery: Matrix Profile methods compute, for each subsequence, the distance to its nearest neighbor subsequence, enabling efficient discovery of repeated patterns (motifs),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sTAMP motif discovery: Matrix Profile methods compute, for each subsequence, the distance to its nearest neighbor subsequence, enabling efficient discovery of repeated patterns (motifs)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1-matrix-profile-hmo_mp_stamp_files/087b69d8125ee4843fb78da1153e70f313ac6ab4.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sTAMP motif discovery: Matrix Profile methods compute, for each subsequence, the distance to its nearest neighbor subsequence, enabling efficient discovery of repeated patterns (motifs), so each argument controls how strongly the method will emphasize that pattern when it later produces motif candidates.</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hmo_mp("stamp",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hmo_mp("stamp",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1-matrix-profile-hmo_mp_stamp_files/dda0ea3674f1a25eab9a40d7b57676ba1fef59d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2026-05-09T22:43:04Z</dcterms:created>
  <dcterms:modified xsi:type="dcterms:W3CDTF">2026-05-09T22:43:04Z</dcterms:modified>
</cp:coreProperties>
</file>

<file path=docProps/custom.xml><?xml version="1.0" encoding="utf-8"?>
<Properties xmlns="http://schemas.openxmlformats.org/officeDocument/2006/custom-properties" xmlns:vt="http://schemas.openxmlformats.org/officeDocument/2006/docPropsVTypes"/>
</file>