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19.png" ContentType="image/png"/>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objective"/>
    <w:p>
      <w:pPr>
        <w:pStyle w:val="Heading2"/>
      </w:pPr>
      <w:r>
        <w:t xml:space="preserve">Objective</w:t>
      </w:r>
    </w:p>
    <w:p>
      <w:pPr>
        <w:pStyle w:val="FirstParagraph"/>
      </w:pPr>
      <w:r>
        <w:t xml:space="preserve">This notebook demonstrates anomaly detection using a 1D Convolutional regressor (</w:t>
      </w:r>
      <w:r>
        <w:rPr>
          <w:rStyle w:val="VerbatimChar"/>
        </w:rPr>
        <w:t xml:space="preserve">hanr_ml + ts_conv1d</w:t>
      </w:r>
      <w:r>
        <w:t xml:space="preserve">). The model predicts the next value using convolutional filters; anomalies are flagged when residuals exceed a learned threshold. Steps: load packages/data, visualize, define and fit the model, detect, evaluate, and plot results and residuals.</w:t>
      </w:r>
    </w:p>
    <w:bookmarkEnd w:id="9"/>
    <w:bookmarkStart w:id="10" w:name="method-at-a-glance"/>
    <w:p>
      <w:pPr>
        <w:pStyle w:val="Heading2"/>
      </w:pPr>
      <w:r>
        <w:t xml:space="preserve">Method at a glance</w:t>
      </w:r>
    </w:p>
    <w:p>
      <w:pPr>
        <w:pStyle w:val="FirstParagraph"/>
      </w:pPr>
      <w:r>
        <w:t xml:space="preserve">Conv1d regression anomaly detection: Model-deviation detection using ML regression: a Conv1D forecaster predicts the next value from a sliding window; large prediction errors are flagged as anomalies. Implemented via DALToolbox regressors and thresholded with</w:t>
      </w:r>
      <w:r>
        <w:t xml:space="preserve"> </w:t>
      </w:r>
      <w:r>
        <w:rPr>
          <w:rStyle w:val="VerbatimChar"/>
        </w:rPr>
        <w:t xml:space="preserve">harutils()</w:t>
      </w:r>
      <w:r>
        <w:t xml:space="preserve">.</w:t>
      </w:r>
    </w:p>
    <w:bookmarkEnd w:id="10"/>
    <w:bookmarkStart w:id="26" w:name="what-you-will-do"/>
    <w:p>
      <w:pPr>
        <w:pStyle w:val="Heading2"/>
      </w:pPr>
      <w:r>
        <w:t xml:space="preserve">What you will do</w:t>
      </w:r>
    </w:p>
    <w:p>
      <w:pPr>
        <w:pStyle w:val="Compact"/>
        <w:numPr>
          <w:ilvl w:val="0"/>
          <w:numId w:val="1001"/>
        </w:numPr>
      </w:pPr>
      <w:r>
        <w:t xml:space="preserve">understand the purpose of the example and when the technique is useful</w:t>
      </w:r>
    </w:p>
    <w:p>
      <w:pPr>
        <w:pStyle w:val="Compact"/>
        <w:numPr>
          <w:ilvl w:val="0"/>
          <w:numId w:val="1001"/>
        </w:numPr>
      </w:pPr>
      <w:r>
        <w:t xml:space="preserve">follow the workflow from data loading to model fitting and detection</w:t>
      </w:r>
    </w:p>
    <w:p>
      <w:pPr>
        <w:pStyle w:val="Compact"/>
        <w:numPr>
          <w:ilvl w:val="0"/>
          <w:numId w:val="1001"/>
        </w:numPr>
      </w:pPr>
      <w:r>
        <w:t xml:space="preserve">inspect the evaluation outputs and the diagnostic plots produced by Harbinger</w:t>
      </w:r>
    </w:p>
    <w:bookmarkStart w:id="11" w:name="prepare-the-example"/>
    <w:p>
      <w:pPr>
        <w:pStyle w:val="Heading3"/>
      </w:pPr>
      <w:r>
        <w:t xml:space="preserve">Prepare the Example</w:t>
      </w:r>
    </w:p>
    <w:p>
      <w:pPr>
        <w:pStyle w:val="FirstParagraph"/>
      </w:pPr>
      <w:r>
        <w:t xml:space="preserve">This setup anchors the notebook in the specific series used to examine</w:t>
      </w:r>
      <w:r>
        <w:t xml:space="preserve"> </w:t>
      </w:r>
      <w:r>
        <w:rPr>
          <w:rStyle w:val="VerbatimChar"/>
        </w:rPr>
        <w:t xml:space="preserve">hanr_ml + ts_conv1d</w:t>
      </w:r>
      <w:r>
        <w:t xml:space="preserve">. The semantic point is the one stated above: conv1d regression anomaly detection: Model-deviation detection using ML regression: a Conv1D forecaster predicts the next value from a sliding window; large prediction errors are flagged as anomalies, so the raw signal needs to be visible before any fitting step hides that structure behind model output.</w:t>
      </w:r>
    </w:p>
    <w:p>
      <w:pPr>
        <w:pStyle w:val="SourceCode"/>
      </w:pPr>
      <w:r>
        <w:rPr>
          <w:rStyle w:val="CommentTok"/>
        </w:rPr>
        <w:t xml:space="preserve"># Install Harbinger (only once, if needed)</w:t>
      </w:r>
      <w:r>
        <w:br/>
      </w:r>
      <w:r>
        <w:rPr>
          <w:rStyle w:val="CommentTok"/>
        </w:rPr>
        <w:t xml:space="preserve">#install.packages("harbinger")</w:t>
      </w:r>
    </w:p>
    <w:p>
      <w:pPr>
        <w:pStyle w:val="SourceCode"/>
      </w:pPr>
      <w:r>
        <w:rPr>
          <w:rStyle w:val="CommentTok"/>
        </w:rPr>
        <w:t xml:space="preserve"># Load required packages</w:t>
      </w:r>
      <w:r>
        <w:br/>
      </w:r>
      <w:r>
        <w:rPr>
          <w:rStyle w:val="FunctionTok"/>
        </w:rPr>
        <w:t xml:space="preserve">library</w:t>
      </w:r>
      <w:r>
        <w:rPr>
          <w:rStyle w:val="NormalTok"/>
        </w:rPr>
        <w:t xml:space="preserve">(daltoolbox)</w:t>
      </w:r>
      <w:r>
        <w:br/>
      </w:r>
      <w:r>
        <w:rPr>
          <w:rStyle w:val="FunctionTok"/>
        </w:rPr>
        <w:t xml:space="preserve">library</w:t>
      </w:r>
      <w:r>
        <w:rPr>
          <w:rStyle w:val="NormalTok"/>
        </w:rPr>
        <w:t xml:space="preserve">(harbinger) </w:t>
      </w:r>
      <w:r>
        <w:br/>
      </w:r>
      <w:r>
        <w:rPr>
          <w:rStyle w:val="FunctionTok"/>
        </w:rPr>
        <w:t xml:space="preserve">library</w:t>
      </w:r>
      <w:r>
        <w:rPr>
          <w:rStyle w:val="NormalTok"/>
        </w:rPr>
        <w:t xml:space="preserve">(tspredit)</w:t>
      </w:r>
      <w:r>
        <w:br/>
      </w:r>
      <w:r>
        <w:rPr>
          <w:rStyle w:val="FunctionTok"/>
        </w:rPr>
        <w:t xml:space="preserve">library</w:t>
      </w:r>
      <w:r>
        <w:rPr>
          <w:rStyle w:val="NormalTok"/>
        </w:rPr>
        <w:t xml:space="preserve">(daltoolboxdp)</w:t>
      </w:r>
    </w:p>
    <w:p>
      <w:pPr>
        <w:pStyle w:val="SourceCode"/>
      </w:pPr>
      <w:r>
        <w:rPr>
          <w:rStyle w:val="CommentTok"/>
        </w:rPr>
        <w:t xml:space="preserve"># Load example datasets bundled with harbinger</w:t>
      </w:r>
      <w:r>
        <w:br/>
      </w:r>
      <w:r>
        <w:rPr>
          <w:rStyle w:val="FunctionTok"/>
        </w:rPr>
        <w:t xml:space="preserve">data</w:t>
      </w:r>
      <w:r>
        <w:rPr>
          <w:rStyle w:val="NormalTok"/>
        </w:rPr>
        <w:t xml:space="preserve">(examples_anomalies)</w:t>
      </w:r>
    </w:p>
    <w:p>
      <w:pPr>
        <w:pStyle w:val="SourceCode"/>
      </w:pPr>
      <w:r>
        <w:rPr>
          <w:rStyle w:val="CommentTok"/>
        </w:rPr>
        <w:t xml:space="preserve"># Select a simple synthetic time series with labeled anomalies</w:t>
      </w:r>
      <w:r>
        <w:br/>
      </w:r>
      <w:r>
        <w:rPr>
          <w:rStyle w:val="NormalTok"/>
        </w:rPr>
        <w:t xml:space="preserve">dataset </w:t>
      </w:r>
      <w:r>
        <w:rPr>
          <w:rStyle w:val="OtherTok"/>
        </w:rPr>
        <w:t xml:space="preserve">&lt;-</w:t>
      </w:r>
      <w:r>
        <w:rPr>
          <w:rStyle w:val="NormalTok"/>
        </w:rPr>
        <w:t xml:space="preserve"> examples_anomalies</w:t>
      </w:r>
      <w:r>
        <w:rPr>
          <w:rStyle w:val="SpecialCharTok"/>
        </w:rPr>
        <w:t xml:space="preserve">$</w:t>
      </w:r>
      <w:r>
        <w:rPr>
          <w:rStyle w:val="NormalTok"/>
        </w:rPr>
        <w:t xml:space="preserve">simple</w:t>
      </w:r>
      <w:r>
        <w:br/>
      </w:r>
      <w:r>
        <w:rPr>
          <w:rStyle w:val="FunctionTok"/>
        </w:rPr>
        <w:t xml:space="preserve">head</w:t>
      </w:r>
      <w:r>
        <w:rPr>
          <w:rStyle w:val="NormalTok"/>
        </w:rPr>
        <w:t xml:space="preserve">(dataset)</w:t>
      </w:r>
    </w:p>
    <w:p>
      <w:pPr>
        <w:pStyle w:val="SourceCode"/>
      </w:pPr>
      <w:r>
        <w:rPr>
          <w:rStyle w:val="VerbatimChar"/>
        </w:rPr>
        <w:t xml:space="preserve">##       serie event</w:t>
      </w:r>
      <w:r>
        <w:br/>
      </w:r>
      <w:r>
        <w:rPr>
          <w:rStyle w:val="VerbatimChar"/>
        </w:rPr>
        <w:t xml:space="preserve">## 1 1.0000000 FALSE</w:t>
      </w:r>
      <w:r>
        <w:br/>
      </w:r>
      <w:r>
        <w:rPr>
          <w:rStyle w:val="VerbatimChar"/>
        </w:rPr>
        <w:t xml:space="preserve">## 2 0.9689124 FALSE</w:t>
      </w:r>
      <w:r>
        <w:br/>
      </w:r>
      <w:r>
        <w:rPr>
          <w:rStyle w:val="VerbatimChar"/>
        </w:rPr>
        <w:t xml:space="preserve">## 3 0.8775826 FALSE</w:t>
      </w:r>
      <w:r>
        <w:br/>
      </w:r>
      <w:r>
        <w:rPr>
          <w:rStyle w:val="VerbatimChar"/>
        </w:rPr>
        <w:t xml:space="preserve">## 4 0.7316889 FALSE</w:t>
      </w:r>
      <w:r>
        <w:br/>
      </w:r>
      <w:r>
        <w:rPr>
          <w:rStyle w:val="VerbatimChar"/>
        </w:rPr>
        <w:t xml:space="preserve">## 5 0.5403023 FALSE</w:t>
      </w:r>
      <w:r>
        <w:br/>
      </w:r>
      <w:r>
        <w:rPr>
          <w:rStyle w:val="VerbatimChar"/>
        </w:rPr>
        <w:t xml:space="preserve">## 6 0.3153224 FALSE</w:t>
      </w:r>
    </w:p>
    <w:bookmarkEnd w:id="11"/>
    <w:bookmarkStart w:id="15" w:name="interpret-the-result-visually"/>
    <w:p>
      <w:pPr>
        <w:pStyle w:val="Heading3"/>
      </w:pPr>
      <w:r>
        <w:t xml:space="preserve">Interpret the Result Visually</w:t>
      </w:r>
    </w:p>
    <w:p>
      <w:pPr>
        <w:pStyle w:val="FirstParagraph"/>
      </w:pPr>
      <w:r>
        <w:t xml:space="preserve">This first visual pass establishes what the method should react to in the raw series. Keep the method summary in mind here, because conv1d regression anomaly detection: Model-deviation detection using ML regression: a Conv1D forecaster predicts the next value from a sliding window; large prediction errors are flagged as anomalies and the plot tells you whether that structure is clean, weak, local, repeated, or mixed with other effects.</w:t>
      </w:r>
    </w:p>
    <w:p>
      <w:pPr>
        <w:pStyle w:val="SourceCode"/>
      </w:pPr>
      <w:r>
        <w:rPr>
          <w:rStyle w:val="CommentTok"/>
        </w:rPr>
        <w:t xml:space="preserve"># Plot the time series</w:t>
      </w:r>
      <w:r>
        <w:br/>
      </w:r>
      <w:r>
        <w:rPr>
          <w:rStyle w:val="FunctionTok"/>
        </w:rPr>
        <w:t xml:space="preserve">har_plot</w:t>
      </w:r>
      <w:r>
        <w:rPr>
          <w:rStyle w:val="NormalTok"/>
        </w:rPr>
        <w:t xml:space="preserve">(</w:t>
      </w:r>
      <w:r>
        <w:rPr>
          <w:rStyle w:val="FunctionTok"/>
        </w:rPr>
        <w:t xml:space="preserve">harbinger</w:t>
      </w:r>
      <w:r>
        <w:rPr>
          <w:rStyle w:val="NormalTok"/>
        </w:rPr>
        <w:t xml:space="preserve">(), dataset</w:t>
      </w:r>
      <w:r>
        <w:rPr>
          <w:rStyle w:val="SpecialCharTok"/>
        </w:rPr>
        <w:t xml:space="preserve">$</w:t>
      </w:r>
      <w:r>
        <w:rPr>
          <w:rStyle w:val="NormalTok"/>
        </w:rPr>
        <w:t xml:space="preserve">serie)</w:t>
      </w:r>
    </w:p>
    <w:p>
      <w:pPr>
        <w:pStyle w:val="FirstParagraph"/>
      </w:pPr>
      <w:r>
        <w:drawing>
          <wp:inline>
            <wp:extent cx="4620126" cy="3696101"/>
            <wp:effectExtent b="0" l="0" r="0" t="0"/>
            <wp:docPr descr="" title="" id="13" name="Picture"/>
            <a:graphic>
              <a:graphicData uri="http://schemas.openxmlformats.org/drawingml/2006/picture">
                <pic:pic>
                  <pic:nvPicPr>
                    <pic:cNvPr descr="/home/gpca/harbinger/examples/anomalies/doc/20-regression-ml-hanr_ml_conv1d_files/46fd22c5619288bab818a9b18590cffbd2d68ef6.png" id="14" name="Picture"/>
                    <pic:cNvPicPr>
                      <a:picLocks noChangeArrowheads="1" noChangeAspect="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bookmarkEnd w:id="15"/>
    <w:bookmarkStart w:id="16" w:name="configure-the-method"/>
    <w:p>
      <w:pPr>
        <w:pStyle w:val="Heading3"/>
      </w:pPr>
      <w:r>
        <w:t xml:space="preserve">Configure the Method</w:t>
      </w:r>
    </w:p>
    <w:p>
      <w:pPr>
        <w:pStyle w:val="FirstParagraph"/>
      </w:pPr>
      <w:r>
        <w:t xml:space="preserve">The choices below turn the central modeling idea into concrete parameters. They matter because conv1d regression anomaly detection: Model-deviation detection using ML regression: a Conv1D forecaster predicts the next value from a sliding window; large prediction errors are flagged as anomalies, so each argument controls how strongly the method will emphasize that pattern when it later produces anomaly flags.</w:t>
      </w:r>
    </w:p>
    <w:p>
      <w:pPr>
        <w:pStyle w:val="SourceCode"/>
      </w:pPr>
      <w:r>
        <w:rPr>
          <w:rStyle w:val="CommentTok"/>
        </w:rPr>
        <w:t xml:space="preserve"># Define Conv1D-based regressor (hanr_ml + ts_conv1d)</w:t>
      </w:r>
      <w:r>
        <w:br/>
      </w:r>
      <w:r>
        <w:rPr>
          <w:rStyle w:val="CommentTok"/>
        </w:rPr>
        <w:t xml:space="preserve"># - input_size: window length; epochs: training iterations</w:t>
      </w:r>
      <w:r>
        <w:br/>
      </w:r>
      <w:r>
        <w:rPr>
          <w:rStyle w:val="NormalTok"/>
        </w:rPr>
        <w:t xml:space="preserve">model </w:t>
      </w:r>
      <w:r>
        <w:rPr>
          <w:rStyle w:val="OtherTok"/>
        </w:rPr>
        <w:t xml:space="preserve">&lt;-</w:t>
      </w:r>
      <w:r>
        <w:rPr>
          <w:rStyle w:val="NormalTok"/>
        </w:rPr>
        <w:t xml:space="preserve"> </w:t>
      </w:r>
      <w:r>
        <w:rPr>
          <w:rStyle w:val="FunctionTok"/>
        </w:rPr>
        <w:t xml:space="preserve">hanr_ml</w:t>
      </w:r>
      <w:r>
        <w:rPr>
          <w:rStyle w:val="NormalTok"/>
        </w:rPr>
        <w:t xml:space="preserve">(</w:t>
      </w:r>
      <w:r>
        <w:rPr>
          <w:rStyle w:val="FunctionTok"/>
        </w:rPr>
        <w:t xml:space="preserve">ts_conv1d</w:t>
      </w:r>
      <w:r>
        <w:rPr>
          <w:rStyle w:val="NormalTok"/>
        </w:rPr>
        <w:t xml:space="preserve">(</w:t>
      </w:r>
      <w:r>
        <w:rPr>
          <w:rStyle w:val="FunctionTok"/>
        </w:rPr>
        <w:t xml:space="preserve">ts_norm_gminmax</w:t>
      </w:r>
      <w:r>
        <w:rPr>
          <w:rStyle w:val="NormalTok"/>
        </w:rPr>
        <w:t xml:space="preserve">(), </w:t>
      </w:r>
      <w:r>
        <w:rPr>
          <w:rStyle w:val="AttributeTok"/>
        </w:rPr>
        <w:t xml:space="preserve">input_size =</w:t>
      </w:r>
      <w:r>
        <w:rPr>
          <w:rStyle w:val="NormalTok"/>
        </w:rPr>
        <w:t xml:space="preserve"> </w:t>
      </w:r>
      <w:r>
        <w:rPr>
          <w:rStyle w:val="DecValTok"/>
        </w:rPr>
        <w:t xml:space="preserve">4</w:t>
      </w:r>
      <w:r>
        <w:rPr>
          <w:rStyle w:val="NormalTok"/>
        </w:rPr>
        <w:t xml:space="preserve">, </w:t>
      </w:r>
      <w:r>
        <w:rPr>
          <w:rStyle w:val="AttributeTok"/>
        </w:rPr>
        <w:t xml:space="preserve">epochs =</w:t>
      </w:r>
      <w:r>
        <w:rPr>
          <w:rStyle w:val="NormalTok"/>
        </w:rPr>
        <w:t xml:space="preserve"> </w:t>
      </w:r>
      <w:r>
        <w:rPr>
          <w:rStyle w:val="DecValTok"/>
        </w:rPr>
        <w:t xml:space="preserve">100</w:t>
      </w:r>
      <w:r>
        <w:rPr>
          <w:rStyle w:val="NormalTok"/>
        </w:rPr>
        <w:t xml:space="preserve">))</w:t>
      </w:r>
    </w:p>
    <w:p>
      <w:pPr>
        <w:pStyle w:val="SourceCode"/>
      </w:pPr>
      <w:r>
        <w:rPr>
          <w:rStyle w:val="CommentTok"/>
        </w:rPr>
        <w:t xml:space="preserve"># Fit the model</w:t>
      </w:r>
      <w:r>
        <w:br/>
      </w:r>
      <w:r>
        <w:rPr>
          <w:rStyle w:val="NormalTok"/>
        </w:rPr>
        <w:t xml:space="preserve">model </w:t>
      </w:r>
      <w:r>
        <w:rPr>
          <w:rStyle w:val="OtherTok"/>
        </w:rPr>
        <w:t xml:space="preserve">&lt;-</w:t>
      </w:r>
      <w:r>
        <w:rPr>
          <w:rStyle w:val="NormalTok"/>
        </w:rPr>
        <w:t xml:space="preserve"> </w:t>
      </w:r>
      <w:r>
        <w:rPr>
          <w:rStyle w:val="FunctionTok"/>
        </w:rPr>
        <w:t xml:space="preserve">fit</w:t>
      </w:r>
      <w:r>
        <w:rPr>
          <w:rStyle w:val="NormalTok"/>
        </w:rPr>
        <w:t xml:space="preserve">(model, dataset</w:t>
      </w:r>
      <w:r>
        <w:rPr>
          <w:rStyle w:val="SpecialCharTok"/>
        </w:rPr>
        <w:t xml:space="preserve">$</w:t>
      </w:r>
      <w:r>
        <w:rPr>
          <w:rStyle w:val="NormalTok"/>
        </w:rPr>
        <w:t xml:space="preserve">serie)</w:t>
      </w:r>
    </w:p>
    <w:bookmarkEnd w:id="16"/>
    <w:bookmarkStart w:id="17" w:name="run-the-core-analysis"/>
    <w:p>
      <w:pPr>
        <w:pStyle w:val="Heading3"/>
      </w:pPr>
      <w:r>
        <w:t xml:space="preserve">Run the Core Analysis</w:t>
      </w:r>
    </w:p>
    <w:p>
      <w:pPr>
        <w:pStyle w:val="FirstParagraph"/>
      </w:pPr>
      <w:r>
        <w:t xml:space="preserve">This is the moment where the notebook tests its central assumption on actual data. After applying</w:t>
      </w:r>
      <w:r>
        <w:t xml:space="preserve"> </w:t>
      </w:r>
      <w:r>
        <w:rPr>
          <w:rStyle w:val="VerbatimChar"/>
        </w:rPr>
        <w:t xml:space="preserve">hanr_ml + ts_conv1d</w:t>
      </w:r>
      <w:r>
        <w:t xml:space="preserve">, the important question is whether the resulting anomaly flags really correspond to the pattern implied by the method description above, rather than to arbitrary numerical variation.</w:t>
      </w:r>
    </w:p>
    <w:p>
      <w:pPr>
        <w:pStyle w:val="SourceCode"/>
      </w:pPr>
      <w:r>
        <w:rPr>
          <w:rStyle w:val="CommentTok"/>
        </w:rPr>
        <w:t xml:space="preserve"># Detect anomalies (compute residuals and events)</w:t>
      </w:r>
      <w:r>
        <w:br/>
      </w:r>
      <w:r>
        <w:rPr>
          <w:rStyle w:val="NormalTok"/>
        </w:rPr>
        <w:t xml:space="preserve">detection </w:t>
      </w:r>
      <w:r>
        <w:rPr>
          <w:rStyle w:val="OtherTok"/>
        </w:rPr>
        <w:t xml:space="preserve">&lt;-</w:t>
      </w:r>
      <w:r>
        <w:rPr>
          <w:rStyle w:val="NormalTok"/>
        </w:rPr>
        <w:t xml:space="preserve"> </w:t>
      </w:r>
      <w:r>
        <w:rPr>
          <w:rStyle w:val="FunctionTok"/>
        </w:rPr>
        <w:t xml:space="preserve">detect</w:t>
      </w:r>
      <w:r>
        <w:rPr>
          <w:rStyle w:val="NormalTok"/>
        </w:rPr>
        <w:t xml:space="preserve">(model, dataset</w:t>
      </w:r>
      <w:r>
        <w:rPr>
          <w:rStyle w:val="SpecialCharTok"/>
        </w:rPr>
        <w:t xml:space="preserve">$</w:t>
      </w:r>
      <w:r>
        <w:rPr>
          <w:rStyle w:val="NormalTok"/>
        </w:rPr>
        <w:t xml:space="preserve">serie)</w:t>
      </w:r>
    </w:p>
    <w:p>
      <w:pPr>
        <w:pStyle w:val="SourceCode"/>
      </w:pPr>
      <w:r>
        <w:rPr>
          <w:rStyle w:val="CommentTok"/>
        </w:rPr>
        <w:t xml:space="preserve"># Show only timestamps flagged as events</w:t>
      </w:r>
      <w:r>
        <w:br/>
      </w:r>
      <w:r>
        <w:rPr>
          <w:rStyle w:val="NormalTok"/>
        </w:rPr>
        <w:t xml:space="preserve">  </w:t>
      </w:r>
      <w:r>
        <w:rPr>
          <w:rStyle w:val="FunctionTok"/>
        </w:rPr>
        <w:t xml:space="preserve">print</w:t>
      </w:r>
      <w:r>
        <w:rPr>
          <w:rStyle w:val="NormalTok"/>
        </w:rPr>
        <w:t xml:space="preserve">(detection </w:t>
      </w:r>
      <w:r>
        <w:rPr>
          <w:rStyle w:val="SpecialCharTok"/>
        </w:rPr>
        <w:t xml:space="preserve">|&gt;</w:t>
      </w:r>
      <w:r>
        <w:rPr>
          <w:rStyle w:val="NormalTok"/>
        </w:rPr>
        <w:t xml:space="preserve"> dplyr</w:t>
      </w:r>
      <w:r>
        <w:rPr>
          <w:rStyle w:val="SpecialCharTok"/>
        </w:rPr>
        <w:t xml:space="preserve">::</w:t>
      </w:r>
      <w:r>
        <w:rPr>
          <w:rStyle w:val="FunctionTok"/>
        </w:rPr>
        <w:t xml:space="preserve">filter</w:t>
      </w:r>
      <w:r>
        <w:rPr>
          <w:rStyle w:val="NormalTok"/>
        </w:rPr>
        <w:t xml:space="preserve">(event</w:t>
      </w:r>
      <w:r>
        <w:rPr>
          <w:rStyle w:val="SpecialCharTok"/>
        </w:rPr>
        <w:t xml:space="preserve">==</w:t>
      </w:r>
      <w:r>
        <w:rPr>
          <w:rStyle w:val="ConstantTok"/>
        </w:rPr>
        <w:t xml:space="preserve">TRUE</w:t>
      </w:r>
      <w:r>
        <w:rPr>
          <w:rStyle w:val="NormalTok"/>
        </w:rPr>
        <w:t xml:space="preserve">))</w:t>
      </w:r>
    </w:p>
    <w:p>
      <w:pPr>
        <w:pStyle w:val="SourceCode"/>
      </w:pPr>
      <w:r>
        <w:rPr>
          <w:rStyle w:val="VerbatimChar"/>
        </w:rPr>
        <w:t xml:space="preserve">##   idx event    type</w:t>
      </w:r>
      <w:r>
        <w:br/>
      </w:r>
      <w:r>
        <w:rPr>
          <w:rStyle w:val="VerbatimChar"/>
        </w:rPr>
        <w:t xml:space="preserve">## 1  50  TRUE anomaly</w:t>
      </w:r>
    </w:p>
    <w:bookmarkEnd w:id="17"/>
    <w:bookmarkStart w:id="18" w:name="evaluate-what-was-found"/>
    <w:p>
      <w:pPr>
        <w:pStyle w:val="Heading3"/>
      </w:pPr>
      <w:r>
        <w:t xml:space="preserve">Evaluate What Was Found</w:t>
      </w:r>
    </w:p>
    <w:p>
      <w:pPr>
        <w:pStyle w:val="FirstParagraph"/>
      </w:pPr>
      <w:r>
        <w:t xml:space="preserve">The evaluation asks whether the anomaly flags produced by</w:t>
      </w:r>
      <w:r>
        <w:t xml:space="preserve"> </w:t>
      </w:r>
      <w:r>
        <w:rPr>
          <w:rStyle w:val="VerbatimChar"/>
        </w:rPr>
        <w:t xml:space="preserve">hanr_ml + ts_conv1d</w:t>
      </w:r>
      <w:r>
        <w:t xml:space="preserve"> </w:t>
      </w:r>
      <w:r>
        <w:t xml:space="preserve">match the labeled structure on this dataset. Read the scores as evidence about the method’s assumptions in practice, not as detached summary numbers.</w:t>
      </w:r>
    </w:p>
    <w:p>
      <w:pPr>
        <w:pStyle w:val="SourceCode"/>
      </w:pPr>
      <w:r>
        <w:rPr>
          <w:rStyle w:val="CommentTok"/>
        </w:rPr>
        <w:t xml:space="preserve"># Evaluate detections against ground-truth labels</w:t>
      </w:r>
      <w:r>
        <w:br/>
      </w:r>
      <w:r>
        <w:rPr>
          <w:rStyle w:val="NormalTok"/>
        </w:rPr>
        <w:t xml:space="preserve">  evaluation </w:t>
      </w:r>
      <w:r>
        <w:rPr>
          <w:rStyle w:val="OtherTok"/>
        </w:rPr>
        <w:t xml:space="preserve">&lt;-</w:t>
      </w:r>
      <w:r>
        <w:rPr>
          <w:rStyle w:val="NormalTok"/>
        </w:rPr>
        <w:t xml:space="preserve"> </w:t>
      </w:r>
      <w:r>
        <w:rPr>
          <w:rStyle w:val="FunctionTok"/>
        </w:rPr>
        <w:t xml:space="preserve">evaluate</w:t>
      </w:r>
      <w:r>
        <w:rPr>
          <w:rStyle w:val="NormalTok"/>
        </w:rPr>
        <w:t xml:space="preserve">(model, detection</w:t>
      </w:r>
      <w:r>
        <w:rPr>
          <w:rStyle w:val="SpecialCharTok"/>
        </w:rPr>
        <w:t xml:space="preserve">$</w:t>
      </w:r>
      <w:r>
        <w:rPr>
          <w:rStyle w:val="NormalTok"/>
        </w:rPr>
        <w:t xml:space="preserve">event, dataset</w:t>
      </w:r>
      <w:r>
        <w:rPr>
          <w:rStyle w:val="SpecialCharTok"/>
        </w:rPr>
        <w:t xml:space="preserve">$</w:t>
      </w:r>
      <w:r>
        <w:rPr>
          <w:rStyle w:val="NormalTok"/>
        </w:rPr>
        <w:t xml:space="preserve">event)</w:t>
      </w:r>
      <w:r>
        <w:br/>
      </w:r>
      <w:r>
        <w:rPr>
          <w:rStyle w:val="NormalTok"/>
        </w:rPr>
        <w:t xml:space="preserve">  </w:t>
      </w:r>
      <w:r>
        <w:rPr>
          <w:rStyle w:val="FunctionTok"/>
        </w:rPr>
        <w:t xml:space="preserve">print</w:t>
      </w:r>
      <w:r>
        <w:rPr>
          <w:rStyle w:val="NormalTok"/>
        </w:rPr>
        <w:t xml:space="preserve">(evaluation</w:t>
      </w:r>
      <w:r>
        <w:rPr>
          <w:rStyle w:val="SpecialCharTok"/>
        </w:rPr>
        <w:t xml:space="preserve">$</w:t>
      </w:r>
      <w:r>
        <w:rPr>
          <w:rStyle w:val="NormalTok"/>
        </w:rPr>
        <w:t xml:space="preserve">confMatrix)</w:t>
      </w:r>
    </w:p>
    <w:p>
      <w:pPr>
        <w:pStyle w:val="SourceCode"/>
      </w:pPr>
      <w:r>
        <w:rPr>
          <w:rStyle w:val="VerbatimChar"/>
        </w:rPr>
        <w:t xml:space="preserve">##           event      </w:t>
      </w:r>
      <w:r>
        <w:br/>
      </w:r>
      <w:r>
        <w:rPr>
          <w:rStyle w:val="VerbatimChar"/>
        </w:rPr>
        <w:t xml:space="preserve">## detection TRUE  FALSE</w:t>
      </w:r>
      <w:r>
        <w:br/>
      </w:r>
      <w:r>
        <w:rPr>
          <w:rStyle w:val="VerbatimChar"/>
        </w:rPr>
        <w:t xml:space="preserve">## TRUE      1     0    </w:t>
      </w:r>
      <w:r>
        <w:br/>
      </w:r>
      <w:r>
        <w:rPr>
          <w:rStyle w:val="VerbatimChar"/>
        </w:rPr>
        <w:t xml:space="preserve">## FALSE     0     100</w:t>
      </w:r>
    </w:p>
    <w:bookmarkEnd w:id="18"/>
    <w:bookmarkStart w:id="25" w:name="interpret-the-result-visually-1"/>
    <w:p>
      <w:pPr>
        <w:pStyle w:val="Heading3"/>
      </w:pPr>
      <w:r>
        <w:t xml:space="preserve">Interpret the Result Visually</w:t>
      </w:r>
    </w:p>
    <w:p>
      <w:pPr>
        <w:pStyle w:val="FirstParagraph"/>
      </w:pPr>
      <w:r>
        <w:t xml:space="preserve">This visual check puts the model output back on top of the original signal. What matters now is whether the highlighted anomaly flags line up with the structure suggested by the method, which is the real semantic test of whether the example is teaching the right lesson.</w:t>
      </w:r>
    </w:p>
    <w:p>
      <w:pPr>
        <w:pStyle w:val="SourceCode"/>
      </w:pPr>
      <w:r>
        <w:rPr>
          <w:rStyle w:val="CommentTok"/>
        </w:rPr>
        <w:t xml:space="preserve"># Plot detections over the series</w:t>
      </w:r>
      <w:r>
        <w:br/>
      </w:r>
      <w:r>
        <w:rPr>
          <w:rStyle w:val="NormalTok"/>
        </w:rPr>
        <w:t xml:space="preserve">  </w:t>
      </w:r>
      <w:r>
        <w:rPr>
          <w:rStyle w:val="FunctionTok"/>
        </w:rPr>
        <w:t xml:space="preserve">har_plot</w:t>
      </w:r>
      <w:r>
        <w:rPr>
          <w:rStyle w:val="NormalTok"/>
        </w:rPr>
        <w:t xml:space="preserve">(model, dataset</w:t>
      </w:r>
      <w:r>
        <w:rPr>
          <w:rStyle w:val="SpecialCharTok"/>
        </w:rPr>
        <w:t xml:space="preserve">$</w:t>
      </w:r>
      <w:r>
        <w:rPr>
          <w:rStyle w:val="NormalTok"/>
        </w:rPr>
        <w:t xml:space="preserve">serie, detection, dataset</w:t>
      </w:r>
      <w:r>
        <w:rPr>
          <w:rStyle w:val="SpecialCharTok"/>
        </w:rPr>
        <w:t xml:space="preserve">$</w:t>
      </w:r>
      <w:r>
        <w:rPr>
          <w:rStyle w:val="NormalTok"/>
        </w:rPr>
        <w:t xml:space="preserve">event)</w:t>
      </w:r>
    </w:p>
    <w:p>
      <w:pPr>
        <w:pStyle w:val="FirstParagraph"/>
      </w:pPr>
      <w:r>
        <w:drawing>
          <wp:inline>
            <wp:extent cx="4620126" cy="3696101"/>
            <wp:effectExtent b="0" l="0" r="0" t="0"/>
            <wp:docPr descr="" title="" id="20" name="Picture"/>
            <a:graphic>
              <a:graphicData uri="http://schemas.openxmlformats.org/drawingml/2006/picture">
                <pic:pic>
                  <pic:nvPicPr>
                    <pic:cNvPr descr="/home/gpca/harbinger/examples/anomalies/doc/20-regression-ml-hanr_ml_conv1d_files/afec30626f55b769805c4183d4f4a2d6dc033e5a.png" id="21" name="Picture"/>
                    <pic:cNvPicPr>
                      <a:picLocks noChangeArrowheads="1" noChangeAspect="1"/>
                    </pic:cNvPicPr>
                  </pic:nvPicPr>
                  <pic:blipFill>
                    <a:blip r:embed="rId1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Plot residual scores and threshold</w:t>
      </w:r>
      <w:r>
        <w:br/>
      </w:r>
      <w:r>
        <w:rPr>
          <w:rStyle w:val="NormalTok"/>
        </w:rPr>
        <w:t xml:space="preserve">  </w:t>
      </w:r>
      <w:r>
        <w:rPr>
          <w:rStyle w:val="FunctionTok"/>
        </w:rPr>
        <w:t xml:space="preserve">har_plot</w:t>
      </w:r>
      <w:r>
        <w:rPr>
          <w:rStyle w:val="NormalTok"/>
        </w:rPr>
        <w:t xml:space="preserve">(model, </w:t>
      </w:r>
      <w:r>
        <w:rPr>
          <w:rStyle w:val="FunctionTok"/>
        </w:rPr>
        <w:t xml:space="preserve">attr</w:t>
      </w:r>
      <w:r>
        <w:rPr>
          <w:rStyle w:val="NormalTok"/>
        </w:rPr>
        <w:t xml:space="preserve">(detection, </w:t>
      </w:r>
      <w:r>
        <w:rPr>
          <w:rStyle w:val="StringTok"/>
        </w:rPr>
        <w:t xml:space="preserve">"res"</w:t>
      </w:r>
      <w:r>
        <w:rPr>
          <w:rStyle w:val="NormalTok"/>
        </w:rPr>
        <w:t xml:space="preserve">), detection, dataset</w:t>
      </w:r>
      <w:r>
        <w:rPr>
          <w:rStyle w:val="SpecialCharTok"/>
        </w:rPr>
        <w:t xml:space="preserve">$</w:t>
      </w:r>
      <w:r>
        <w:rPr>
          <w:rStyle w:val="NormalTok"/>
        </w:rPr>
        <w:t xml:space="preserve">event, </w:t>
      </w:r>
      <w:r>
        <w:rPr>
          <w:rStyle w:val="AttributeTok"/>
        </w:rPr>
        <w:t xml:space="preserve">yline =</w:t>
      </w:r>
      <w:r>
        <w:rPr>
          <w:rStyle w:val="NormalTok"/>
        </w:rPr>
        <w:t xml:space="preserve"> </w:t>
      </w:r>
      <w:r>
        <w:rPr>
          <w:rStyle w:val="FunctionTok"/>
        </w:rPr>
        <w:t xml:space="preserve">attr</w:t>
      </w:r>
      <w:r>
        <w:rPr>
          <w:rStyle w:val="NormalTok"/>
        </w:rPr>
        <w:t xml:space="preserve">(detection, </w:t>
      </w:r>
      <w:r>
        <w:rPr>
          <w:rStyle w:val="StringTok"/>
        </w:rPr>
        <w:t xml:space="preserve">"threshold"</w:t>
      </w:r>
      <w:r>
        <w:rPr>
          <w:rStyle w:val="NormalTok"/>
        </w:rPr>
        <w:t xml:space="preserve">))</w:t>
      </w:r>
    </w:p>
    <w:p>
      <w:pPr>
        <w:pStyle w:val="FirstParagraph"/>
      </w:pPr>
      <w:r>
        <w:drawing>
          <wp:inline>
            <wp:extent cx="4620126" cy="3696101"/>
            <wp:effectExtent b="0" l="0" r="0" t="0"/>
            <wp:docPr descr="" title="" id="23" name="Picture"/>
            <a:graphic>
              <a:graphicData uri="http://schemas.openxmlformats.org/drawingml/2006/picture">
                <pic:pic>
                  <pic:nvPicPr>
                    <pic:cNvPr descr="/home/gpca/harbinger/examples/anomalies/doc/20-regression-ml-hanr_ml_conv1d_files/cb1d19372e235c85988b32034b52e79c1a812641.png" id="24" name="Picture"/>
                    <pic:cNvPicPr>
                      <a:picLocks noChangeArrowheads="1" noChangeAspect="1"/>
                    </pic:cNvPicPr>
                  </pic:nvPicPr>
                  <pic:blipFill>
                    <a:blip r:embed="rId22"/>
                    <a:stretch>
                      <a:fillRect/>
                    </a:stretch>
                  </pic:blipFill>
                  <pic:spPr bwMode="auto">
                    <a:xfrm>
                      <a:off x="0" y="0"/>
                      <a:ext cx="4620126" cy="3696101"/>
                    </a:xfrm>
                    <a:prstGeom prst="rect">
                      <a:avLst/>
                    </a:prstGeom>
                    <a:noFill/>
                    <a:ln w="9525">
                      <a:noFill/>
                      <a:headEnd/>
                      <a:tailEnd/>
                    </a:ln>
                  </pic:spPr>
                </pic:pic>
              </a:graphicData>
            </a:graphic>
          </wp:inline>
        </w:drawing>
      </w:r>
    </w:p>
    <w:bookmarkEnd w:id="25"/>
    <w:bookmarkEnd w:id="26"/>
    <w:bookmarkStart w:id="27" w:name="references"/>
    <w:p>
      <w:pPr>
        <w:pStyle w:val="Heading2"/>
      </w:pPr>
      <w:r>
        <w:t xml:space="preserve">References</w:t>
      </w:r>
    </w:p>
    <w:p>
      <w:pPr>
        <w:pStyle w:val="Compact"/>
        <w:numPr>
          <w:ilvl w:val="0"/>
          <w:numId w:val="1002"/>
        </w:numPr>
      </w:pPr>
      <w:r>
        <w:t xml:space="preserve">Goodfellow, I., Bengio, Y., Courville, A. (2016). Deep Learning. MIT Press.</w:t>
      </w:r>
    </w:p>
    <w:p>
      <w:pPr>
        <w:pStyle w:val="Compact"/>
        <w:numPr>
          <w:ilvl w:val="0"/>
          <w:numId w:val="1002"/>
        </w:numPr>
      </w:pPr>
      <w:r>
        <w:t xml:space="preserve">Hyndman, R. J., Athanasopoulos, G. (2021). Forecasting: Principles and Practice. OTexts.</w:t>
      </w:r>
    </w:p>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19" Target="media/rId19.png" /><Relationship Type="http://schemas.openxmlformats.org/officeDocument/2006/relationships/image" Id="rId22" Target="media/rId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2026-05-11T02:03:15Z</dcterms:created>
  <dcterms:modified xsi:type="dcterms:W3CDTF">2026-05-11T02:03:15Z</dcterms:modified>
</cp:coreProperties>
</file>

<file path=docProps/custom.xml><?xml version="1.0" encoding="utf-8"?>
<Properties xmlns="http://schemas.openxmlformats.org/officeDocument/2006/custom-properties" xmlns:vt="http://schemas.openxmlformats.org/officeDocument/2006/docPropsVTypes"/>
</file>