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9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Generalized Fluctuation Tests (GFT) assess structural changes by examining stability of regression fits across time. In this tutorial we:</w:t>
      </w:r>
    </w:p>
    <w:p>
      <w:pPr>
        <w:pStyle w:val="Compact"/>
        <w:numPr>
          <w:ilvl w:val="0"/>
          <w:numId w:val="1001"/>
        </w:numPr>
      </w:pPr>
      <w:r>
        <w:t xml:space="preserve">Load and visualize a simple change-point dataset</w:t>
      </w:r>
    </w:p>
    <w:p>
      <w:pPr>
        <w:pStyle w:val="Compact"/>
        <w:numPr>
          <w:ilvl w:val="0"/>
          <w:numId w:val="1001"/>
        </w:numPr>
      </w:pPr>
      <w:r>
        <w:t xml:space="preserve">Configure and run the GFT-based detector (</w:t>
      </w:r>
      <w:r>
        <w:rPr>
          <w:rStyle w:val="VerbatimChar"/>
        </w:rPr>
        <w:t xml:space="preserve">hcp_gft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Inspect detections, evaluate, and plot results</w:t>
      </w:r>
    </w:p>
    <w:bookmarkEnd w:id="9"/>
    <w:bookmarkStart w:id="10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GFT: Generalized fluctuation tests assess stability of regression parameters over time using</w:t>
      </w:r>
      <w:r>
        <w:t xml:space="preserve"> </w:t>
      </w:r>
      <w:r>
        <w:rPr>
          <w:rStyle w:val="VerbatimChar"/>
        </w:rPr>
        <w:t xml:space="preserve">strucchange::breakpoints()</w:t>
      </w:r>
      <w:r>
        <w:t xml:space="preserve">, returning estimated break dates under information criteria.</w:t>
      </w:r>
    </w:p>
    <w:bookmarkEnd w:id="10"/>
    <w:bookmarkStart w:id="23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2"/>
        </w:numPr>
      </w:pPr>
      <w:r>
        <w:t xml:space="preserve">understand the purpose of the example and when the technique is useful</w:t>
      </w:r>
    </w:p>
    <w:p>
      <w:pPr>
        <w:pStyle w:val="Compact"/>
        <w:numPr>
          <w:ilvl w:val="0"/>
          <w:numId w:val="1002"/>
        </w:numPr>
      </w:pPr>
      <w:r>
        <w:t xml:space="preserve">follow the workflow from data loading to model fitting and detection</w:t>
      </w:r>
    </w:p>
    <w:p>
      <w:pPr>
        <w:pStyle w:val="Compact"/>
        <w:numPr>
          <w:ilvl w:val="0"/>
          <w:numId w:val="1002"/>
        </w:numPr>
      </w:pPr>
      <w:r>
        <w:t xml:space="preserve">inspect the evaluation outputs and the diagnostic plots produced by Harbinger</w:t>
      </w:r>
    </w:p>
    <w:bookmarkStart w:id="11" w:name="prepare-the-example"/>
    <w:p>
      <w:pPr>
        <w:pStyle w:val="Heading3"/>
      </w:pPr>
      <w:r>
        <w:t xml:space="preserve">Prepare the Example</w:t>
      </w:r>
    </w:p>
    <w:p>
      <w:pPr>
        <w:pStyle w:val="FirstParagraph"/>
      </w:pPr>
      <w:r>
        <w:t xml:space="preserve">This setup anchors the notebook in the specific series used to examine</w:t>
      </w:r>
      <w:r>
        <w:t xml:space="preserve"> </w:t>
      </w:r>
      <w:r>
        <w:rPr>
          <w:rStyle w:val="VerbatimChar"/>
        </w:rPr>
        <w:t xml:space="preserve">hcp_gft</w:t>
      </w:r>
      <w:r>
        <w:t xml:space="preserve">. The semantic point is the one stated above: gFT: Generalized fluctuation tests assess stability of regression parameters over time using</w:t>
      </w:r>
      <w:r>
        <w:t xml:space="preserve"> </w:t>
      </w:r>
      <w:r>
        <w:rPr>
          <w:rStyle w:val="VerbatimChar"/>
        </w:rPr>
        <w:t xml:space="preserve">strucchange::breakpoints()</w:t>
      </w:r>
      <w:r>
        <w:t xml:space="preserve">, returning estimated break dates under information criteria, so the raw signal needs to be visible before any fitting step hides that structure behind model output.</w:t>
      </w:r>
    </w:p>
    <w:p>
      <w:pPr>
        <w:pStyle w:val="SourceCode"/>
      </w:pPr>
      <w:r>
        <w:rPr>
          <w:rStyle w:val="CommentTok"/>
        </w:rPr>
        <w:t xml:space="preserve"># Install Harbinger (if needed)</w:t>
      </w:r>
      <w:r>
        <w:br/>
      </w:r>
      <w:r>
        <w:rPr>
          <w:rStyle w:val="CommentTok"/>
        </w:rPr>
        <w:t xml:space="preserve">#install.packages("harbinger")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 </w:t>
      </w:r>
    </w:p>
    <w:p>
      <w:pPr>
        <w:pStyle w:val="SourceCode"/>
      </w:pPr>
      <w:r>
        <w:rPr>
          <w:rStyle w:val="CommentTok"/>
        </w:rPr>
        <w:t xml:space="preserve"># Load example change-point datasets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(examples_changepoints)</w:t>
      </w:r>
    </w:p>
    <w:p>
      <w:pPr>
        <w:pStyle w:val="SourceCode"/>
      </w:pPr>
      <w:r>
        <w:rPr>
          <w:rStyle w:val="CommentTok"/>
        </w:rPr>
        <w:t xml:space="preserve"># Select the simple dataset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examples_changepoints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simple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(dataset)</w:t>
      </w:r>
    </w:p>
    <w:p>
      <w:pPr>
        <w:pStyle w:val="SourceCode"/>
      </w:pPr>
      <w:r>
        <w:rPr>
          <w:rStyle w:val="VerbatimChar"/>
        </w:rPr>
        <w:t xml:space="preserve">##   serie event</w:t>
      </w:r>
      <w:r>
        <w:br/>
      </w:r>
      <w:r>
        <w:rPr>
          <w:rStyle w:val="VerbatimChar"/>
        </w:rPr>
        <w:t xml:space="preserve">## 1  0.00 FALSE</w:t>
      </w:r>
      <w:r>
        <w:br/>
      </w:r>
      <w:r>
        <w:rPr>
          <w:rStyle w:val="VerbatimChar"/>
        </w:rPr>
        <w:t xml:space="preserve">## 2  0.25 FALSE</w:t>
      </w:r>
      <w:r>
        <w:br/>
      </w:r>
      <w:r>
        <w:rPr>
          <w:rStyle w:val="VerbatimChar"/>
        </w:rPr>
        <w:t xml:space="preserve">## 3  0.50 FALSE</w:t>
      </w:r>
      <w:r>
        <w:br/>
      </w:r>
      <w:r>
        <w:rPr>
          <w:rStyle w:val="VerbatimChar"/>
        </w:rPr>
        <w:t xml:space="preserve">## 4  0.75 FALSE</w:t>
      </w:r>
      <w:r>
        <w:br/>
      </w:r>
      <w:r>
        <w:rPr>
          <w:rStyle w:val="VerbatimChar"/>
        </w:rPr>
        <w:t xml:space="preserve">## 5  1.00 FALSE</w:t>
      </w:r>
      <w:r>
        <w:br/>
      </w:r>
      <w:r>
        <w:rPr>
          <w:rStyle w:val="VerbatimChar"/>
        </w:rPr>
        <w:t xml:space="preserve">## 6  1.25 FALSE</w:t>
      </w:r>
    </w:p>
    <w:bookmarkEnd w:id="11"/>
    <w:bookmarkStart w:id="15" w:name="interpret-the-result-visually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This first visual pass establishes what the method should react to in the raw series. Keep the method summary in mind here, because gFT: Generalized fluctuation tests assess stability of regression parameters over time using</w:t>
      </w:r>
      <w:r>
        <w:t xml:space="preserve"> </w:t>
      </w:r>
      <w:r>
        <w:rPr>
          <w:rStyle w:val="VerbatimChar"/>
        </w:rPr>
        <w:t xml:space="preserve">strucchange::breakpoints()</w:t>
      </w:r>
      <w:r>
        <w:t xml:space="preserve">, returning estimated break dates under information criteria and the plot tells you whether that structure is clean, weak, local, repeated, or mixed with other effects.</w:t>
      </w:r>
    </w:p>
    <w:p>
      <w:pPr>
        <w:pStyle w:val="SourceCode"/>
      </w:pPr>
      <w:r>
        <w:rPr>
          <w:rStyle w:val="CommentTok"/>
        </w:rPr>
        <w:t xml:space="preserve"># Plot the raw time series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harbinger/examples/change_point/doc/05-structural-break-hcp_gft_files/f03bd9cb08d7edd0f17d89dfe35e557fd3be3ea3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"/>
    <w:bookmarkStart w:id="16" w:name="configure-the-method"/>
    <w:p>
      <w:pPr>
        <w:pStyle w:val="Heading3"/>
      </w:pPr>
      <w:r>
        <w:t xml:space="preserve">Configure the Method</w:t>
      </w:r>
    </w:p>
    <w:p>
      <w:pPr>
        <w:pStyle w:val="FirstParagraph"/>
      </w:pPr>
      <w:r>
        <w:t xml:space="preserve">The choices below turn the central modeling idea into concrete parameters. They matter because gFT: Generalized fluctuation tests assess stability of regression parameters over time using</w:t>
      </w:r>
      <w:r>
        <w:t xml:space="preserve"> </w:t>
      </w:r>
      <w:r>
        <w:rPr>
          <w:rStyle w:val="VerbatimChar"/>
        </w:rPr>
        <w:t xml:space="preserve">strucchange::breakpoints()</w:t>
      </w:r>
      <w:r>
        <w:t xml:space="preserve">, returning estimated break dates under information criteria, so each argument controls how strongly the method will emphasize that pattern when it later produces change-point candidates.</w:t>
      </w:r>
    </w:p>
    <w:p>
      <w:pPr>
        <w:pStyle w:val="SourceCode"/>
      </w:pPr>
      <w:r>
        <w:rPr>
          <w:rStyle w:val="CommentTok"/>
        </w:rPr>
        <w:t xml:space="preserve"># Configure the GFT detector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hcp_gft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CommentTok"/>
        </w:rPr>
        <w:t xml:space="preserve"># Fit the detector (no training required)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bookmarkEnd w:id="16"/>
    <w:bookmarkStart w:id="17" w:name="run-the-core-analysis"/>
    <w:p>
      <w:pPr>
        <w:pStyle w:val="Heading3"/>
      </w:pPr>
      <w:r>
        <w:t xml:space="preserve">Run the Core Analysis</w:t>
      </w:r>
    </w:p>
    <w:p>
      <w:pPr>
        <w:pStyle w:val="FirstParagraph"/>
      </w:pPr>
      <w:r>
        <w:t xml:space="preserve">This is the moment where the notebook tests its central assumption on actual data. After applying</w:t>
      </w:r>
      <w:r>
        <w:t xml:space="preserve"> </w:t>
      </w:r>
      <w:r>
        <w:rPr>
          <w:rStyle w:val="VerbatimChar"/>
        </w:rPr>
        <w:t xml:space="preserve">hcp_gft</w:t>
      </w:r>
      <w:r>
        <w:t xml:space="preserve">, the important question is whether the resulting change-point candidates really correspond to the pattern implied by the method description above, rather than to arbitrary numerical variation.</w:t>
      </w:r>
    </w:p>
    <w:p>
      <w:pPr>
        <w:pStyle w:val="SourceCode"/>
      </w:pPr>
      <w:r>
        <w:rPr>
          <w:rStyle w:val="CommentTok"/>
        </w:rPr>
        <w:t xml:space="preserve"># Run detection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CommentTok"/>
        </w:rPr>
        <w:t xml:space="preserve"># Show detected change points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##   idx event        type</w:t>
      </w:r>
      <w:r>
        <w:br/>
      </w:r>
      <w:r>
        <w:rPr>
          <w:rStyle w:val="VerbatimChar"/>
        </w:rPr>
        <w:t xml:space="preserve">## 1  49  TRUE changepoint</w:t>
      </w:r>
      <w:r>
        <w:br/>
      </w:r>
      <w:r>
        <w:rPr>
          <w:rStyle w:val="VerbatimChar"/>
        </w:rPr>
        <w:t xml:space="preserve">## 2  64  TRUE changepoint</w:t>
      </w:r>
    </w:p>
    <w:bookmarkEnd w:id="17"/>
    <w:bookmarkStart w:id="18" w:name="evaluate-what-was-found"/>
    <w:p>
      <w:pPr>
        <w:pStyle w:val="Heading3"/>
      </w:pPr>
      <w:r>
        <w:t xml:space="preserve">Evaluate What Was Found</w:t>
      </w:r>
    </w:p>
    <w:p>
      <w:pPr>
        <w:pStyle w:val="FirstParagraph"/>
      </w:pPr>
      <w:r>
        <w:t xml:space="preserve">The evaluation asks whether the change-point candidates produced by</w:t>
      </w:r>
      <w:r>
        <w:t xml:space="preserve"> </w:t>
      </w:r>
      <w:r>
        <w:rPr>
          <w:rStyle w:val="VerbatimChar"/>
        </w:rPr>
        <w:t xml:space="preserve">hcp_gft</w:t>
      </w:r>
      <w:r>
        <w:t xml:space="preserve"> </w:t>
      </w:r>
      <w:r>
        <w:t xml:space="preserve">match the labeled structure on this dataset. Read the scores as evidence about the method’s assumptions in practice, not as detached summary numbers.</w:t>
      </w:r>
    </w:p>
    <w:p>
      <w:pPr>
        <w:pStyle w:val="SourceCode"/>
      </w:pPr>
      <w:r>
        <w:rPr>
          <w:rStyle w:val="CommentTok"/>
        </w:rPr>
        <w:t xml:space="preserve"># Evaluate detections against labels</w:t>
      </w:r>
      <w:r>
        <w:br/>
      </w:r>
      <w:r>
        <w:rPr>
          <w:rStyle w:val="NormalTok"/>
        </w:rPr>
        <w:t xml:space="preserve">evaluation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(evaluation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confMatrix)</w:t>
      </w:r>
    </w:p>
    <w:p>
      <w:pPr>
        <w:pStyle w:val="SourceCode"/>
      </w:pPr>
      <w:r>
        <w:rPr>
          <w:rStyle w:val="VerbatimChar"/>
        </w:rPr>
        <w:t xml:space="preserve">##           event      </w:t>
      </w:r>
      <w:r>
        <w:br/>
      </w:r>
      <w:r>
        <w:rPr>
          <w:rStyle w:val="VerbatimChar"/>
        </w:rPr>
        <w:t xml:space="preserve">## detection TRUE  FALSE</w:t>
      </w:r>
      <w:r>
        <w:br/>
      </w:r>
      <w:r>
        <w:rPr>
          <w:rStyle w:val="VerbatimChar"/>
        </w:rPr>
        <w:t xml:space="preserve">## TRUE      0     2    </w:t>
      </w:r>
      <w:r>
        <w:br/>
      </w:r>
      <w:r>
        <w:rPr>
          <w:rStyle w:val="VerbatimChar"/>
        </w:rPr>
        <w:t xml:space="preserve">## FALSE     1     98</w:t>
      </w:r>
    </w:p>
    <w:bookmarkEnd w:id="18"/>
    <w:bookmarkStart w:id="22" w:name="interpret-the-result-visually-1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This visual check puts the model output back on top of the original signal. What matters now is whether the highlighted change-point candidates line up with the structure suggested by the method, which is the real semantic test of whether the example is teaching the right lesson.</w:t>
      </w:r>
    </w:p>
    <w:p>
      <w:pPr>
        <w:pStyle w:val="SourceCode"/>
      </w:pPr>
      <w:r>
        <w:rPr>
          <w:rStyle w:val="CommentTok"/>
        </w:rPr>
        <w:t xml:space="preserve"># Plot detections vs. ground truth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/home/gpca/harbinger/examples/change_point/doc/05-structural-break-hcp_gft_files/20773134d33e3cb8e660086e17d85966901cf6d5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2"/>
    <w:bookmarkEnd w:id="23"/>
    <w:bookmarkStart w:id="25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3"/>
        </w:numPr>
      </w:pPr>
      <w:r>
        <w:t xml:space="preserve">Zeileis, A., Leisch, F., Kleiber, C., Hornik, K. (2002). strucchange: An R package for testing for structural change in linear regression models. Journal of Statistical Software, 7(2).</w:t>
      </w:r>
      <w:r>
        <w:t xml:space="preserve"> </w:t>
      </w:r>
      <w:hyperlink r:id="rId24">
        <w:r>
          <w:rPr>
            <w:rStyle w:val="Hyperlink"/>
          </w:rPr>
          <w:t xml:space="preserve">doi:10.18637/jss.v007.i02</w:t>
        </w:r>
      </w:hyperlink>
    </w:p>
    <w:p>
      <w:pPr>
        <w:pStyle w:val="Compact"/>
        <w:numPr>
          <w:ilvl w:val="0"/>
          <w:numId w:val="1003"/>
        </w:numPr>
      </w:pPr>
      <w:r>
        <w:t xml:space="preserve">Zeileis, A., Kleiber, C., Kramer, W., Hornik, K. (2003). Testing and dating of structural changes in practice. Computational Statistics &amp; Data Analysis, 44(1), 109-123.</w:t>
      </w:r>
    </w:p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9" Target="media/rId19.png" /><Relationship Type="http://schemas.openxmlformats.org/officeDocument/2006/relationships/image" Id="rId12" Target="media/rId12.png" /><Relationship Type="http://schemas.openxmlformats.org/officeDocument/2006/relationships/hyperlink" Id="rId24" Target="doi:10.18637/jss.v007.i02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doi:10.18637/jss.v007.i02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2026-05-11T02:04:26Z</dcterms:created>
  <dcterms:modified xsi:type="dcterms:W3CDTF">2026-05-11T02:04:26Z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