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volatility-oriented, and univariate drift-oriented techniques.</w:t>
      </w:r>
    </w:p>
    <w:p>
      <w:pPr>
        <w:pStyle w:val="Compact"/>
        <w:numPr>
          <w:ilvl w:val="0"/>
          <w:numId w:val="1002"/>
        </w:numPr>
      </w:pPr>
      <w:hyperlink r:id="rId15">
        <w:r>
          <w:rPr>
            <w:rStyle w:val="Hyperlink"/>
          </w:rPr>
          <w:t xml:space="preserve">Waypoint examples</w:t>
        </w:r>
      </w:hyperlink>
      <w:r>
        <w:t xml:space="preserve"> </w:t>
      </w:r>
      <w:r>
        <w:t xml:space="preserve">- adaptive autoencoder + CUSUM notebooks for change-point detection with different encoder architectures.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2026-05-11T02:06:43Z</dcterms:created>
  <dcterms:modified xsi:type="dcterms:W3CDTF">2026-05-11T02:06:43Z</dcterms:modified>
</cp:coreProperties>
</file>

<file path=docProps/custom.xml><?xml version="1.0" encoding="utf-8"?>
<Properties xmlns="http://schemas.openxmlformats.org/officeDocument/2006/custom-properties" xmlns:vt="http://schemas.openxmlformats.org/officeDocument/2006/docPropsVTypes"/>
</file>