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Override PartName="/word/media/rId35.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objective"/>
    <w:p>
      <w:pPr>
        <w:pStyle w:val="Heading2"/>
      </w:pPr>
      <w:r>
        <w:t xml:space="preserve">Objective</w:t>
      </w:r>
    </w:p>
    <w:p>
      <w:pPr>
        <w:pStyle w:val="FirstParagraph"/>
      </w:pPr>
      <w:r>
        <w:t xml:space="preserve">This variant combines FFT high-pass filtering with a spectral cutoff chosen by Binary Segmentation (BinSeg) on the power spectrum.</w:t>
      </w:r>
    </w:p>
    <w:p>
      <w:pPr>
        <w:pStyle w:val="BodyText"/>
      </w:pPr>
      <w:r>
        <w:t xml:space="preserve">We will:</w:t>
      </w:r>
      <w:r>
        <w:t xml:space="preserve"> </w:t>
      </w:r>
      <w:r>
        <w:t xml:space="preserve">- Load and visualize a simple anomaly dataset</w:t>
      </w:r>
      <w:r>
        <w:t xml:space="preserve"> </w:t>
      </w:r>
      <w:r>
        <w:t xml:space="preserve">- Configure and run</w:t>
      </w:r>
      <w:r>
        <w:t xml:space="preserve"> </w:t>
      </w:r>
      <w:r>
        <w:rPr>
          <w:rStyle w:val="VerbatimChar"/>
        </w:rPr>
        <w:t xml:space="preserve">hanr_fft_binseg</w:t>
      </w:r>
      <w:r>
        <w:t xml:space="preserve"> </w:t>
      </w:r>
      <w:r>
        <w:t xml:space="preserve">- Inspect detections, evaluate, and plot residual magnitudes and thresholds</w:t>
      </w:r>
    </w:p>
    <w:bookmarkEnd w:id="20"/>
    <w:bookmarkStart w:id="21" w:name="method-at-a-glance"/>
    <w:p>
      <w:pPr>
        <w:pStyle w:val="Heading2"/>
      </w:pPr>
      <w:r>
        <w:t xml:space="preserve">Method at a glance</w:t>
      </w:r>
    </w:p>
    <w:p>
      <w:pPr>
        <w:pStyle w:val="FirstParagraph"/>
      </w:pPr>
      <w:r>
        <w:t xml:space="preserve">FFT Binseg regression anomaly detection: FFT-based high-pass filtering with a cutoff selected via Binary Segmentation on the power spectrum. Frequencies below the detected spectral changepoint are suppressed; anomalies are flagged from the residual magnitude and thresholded using</w:t>
      </w:r>
      <w:r>
        <w:t xml:space="preserve"> </w:t>
      </w:r>
      <w:r>
        <w:rPr>
          <w:rStyle w:val="VerbatimChar"/>
        </w:rPr>
        <w:t xml:space="preserve">harutils()</w:t>
      </w:r>
      <w:r>
        <w:t xml:space="preserve">.</w:t>
      </w:r>
    </w:p>
    <w:bookmarkEnd w:id="21"/>
    <w:bookmarkStart w:id="22"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End w:id="22"/>
    <w:bookmarkStart w:id="23" w:name="how-to-read-this-walkthrough"/>
    <w:p>
      <w:pPr>
        <w:pStyle w:val="Heading2"/>
      </w:pPr>
      <w:r>
        <w:t xml:space="preserve">How to read this walkthrough</w:t>
      </w:r>
    </w:p>
    <w:p>
      <w:pPr>
        <w:pStyle w:val="FirstParagraph"/>
      </w:pPr>
      <w:r>
        <w:t xml:space="preserve">The code blocks below follow the same learning rhythm used throughout the collection: prepare the environment, choose the dataset, configure the method, run the analysis, and then inspect the result. Readers who are still learning time-series mining can use that order to understand not only</w:t>
      </w:r>
      <w:r>
        <w:t xml:space="preserve"> </w:t>
      </w:r>
      <w:r>
        <w:rPr>
          <w:i/>
          <w:iCs/>
        </w:rPr>
        <w:t xml:space="preserve">what</w:t>
      </w:r>
      <w:r>
        <w:t xml:space="preserve"> </w:t>
      </w:r>
      <w:r>
        <w:t xml:space="preserve">each command does, but also</w:t>
      </w:r>
      <w:r>
        <w:t xml:space="preserve"> </w:t>
      </w:r>
      <w:r>
        <w:rPr>
          <w:i/>
          <w:iCs/>
        </w:rPr>
        <w:t xml:space="preserve">why</w:t>
      </w:r>
      <w:r>
        <w:t xml:space="preserve"> </w:t>
      </w:r>
      <w:r>
        <w:t xml:space="preserve">it appears at that stage of the workflow.</w:t>
      </w:r>
    </w:p>
    <w:p>
      <w:pPr>
        <w:pStyle w:val="BodyText"/>
      </w:pPr>
      <w:r>
        <w:t xml:space="preserve">As you go through the notebook, read the inline comments inside each chunk as the operational explanation and use the surrounding prose as the conceptual guide.</w:t>
      </w:r>
    </w:p>
    <w:bookmarkEnd w:id="23"/>
    <w:bookmarkStart w:id="39" w:name="walkthrough"/>
    <w:p>
      <w:pPr>
        <w:pStyle w:val="Heading2"/>
      </w:pPr>
      <w:r>
        <w:t xml:space="preserve">Walkthrough</w:t>
      </w:r>
    </w:p>
    <w:bookmarkStart w:id="24" w:name="prepare-the-example"/>
    <w:p>
      <w:pPr>
        <w:pStyle w:val="Heading3"/>
      </w:pPr>
      <w:r>
        <w:t xml:space="preserve">Prepare the Example</w:t>
      </w:r>
    </w:p>
    <w:p>
      <w:pPr>
        <w:pStyle w:val="FirstParagraph"/>
      </w:pPr>
      <w:r>
        <w:t xml:space="preserve">We begin by organizing the environment, loading the packages, and selecting the dataset used in the notebook. This part is intentionally more direct: the goal is to make the starting point explicit before the method-specific reasoning begins.</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anomaly datasets</w:t>
      </w:r>
      <w:r>
        <w:br/>
      </w:r>
      <w:r>
        <w:rPr>
          <w:rStyle w:val="FunctionTok"/>
        </w:rPr>
        <w:t xml:space="preserve">data</w:t>
      </w:r>
      <w:r>
        <w:rPr>
          <w:rStyle w:val="NormalTok"/>
        </w:rPr>
        <w:t xml:space="preserve">(examples_anomalies)</w:t>
      </w:r>
    </w:p>
    <w:p>
      <w:pPr>
        <w:pStyle w:val="SourceCode"/>
      </w:pPr>
      <w:r>
        <w:rPr>
          <w:rStyle w:val="CommentTok"/>
        </w:rPr>
        <w:t xml:space="preserve"># Select a simple anomaly dataset</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24"/>
    <w:bookmarkStart w:id="28" w:name="interpret-the-result-visually"/>
    <w:p>
      <w:pPr>
        <w:pStyle w:val="Heading3"/>
      </w:pPr>
      <w:r>
        <w:t xml:space="preserve">Interpret the Result Visually</w:t>
      </w:r>
    </w:p>
    <w:p>
      <w:pPr>
        <w:pStyle w:val="FirstParagraph"/>
      </w:pPr>
      <w:r>
        <w:t xml:space="preserve">The final plots are not just illustrations. They help the reader connect the method’s internal output with the original series, making it easier to see why a point, range, motif, or symbolic pattern was emphasized and whether that emphasis is coherent with the stated objective of the example.</w:t>
      </w:r>
    </w:p>
    <w:p>
      <w:pPr>
        <w:pStyle w:val="SourceCode"/>
      </w:pPr>
      <w:r>
        <w:rPr>
          <w:rStyle w:val="CommentTok"/>
        </w:rPr>
        <w:t xml:space="preserve"># Plot the raw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26" name="Picture"/>
            <a:graphic>
              <a:graphicData uri="http://schemas.openxmlformats.org/drawingml/2006/picture">
                <pic:pic>
                  <pic:nvPicPr>
                    <pic:cNvPr descr="/home/gpca/harbinger/examples/anomalies/doc/08-regression-hanr_fft_binseg_files/figure-docx/unnamed-chunk-5-1.png" id="27" name="Picture"/>
                    <pic:cNvPicPr>
                      <a:picLocks noChangeArrowheads="1" noChangeAspect="1"/>
                    </pic:cNvPicPr>
                  </pic:nvPicPr>
                  <pic:blipFill>
                    <a:blip r:embed="rId25"/>
                    <a:stretch>
                      <a:fillRect/>
                    </a:stretch>
                  </pic:blipFill>
                  <pic:spPr bwMode="auto">
                    <a:xfrm>
                      <a:off x="0" y="0"/>
                      <a:ext cx="4620126" cy="3696101"/>
                    </a:xfrm>
                    <a:prstGeom prst="rect">
                      <a:avLst/>
                    </a:prstGeom>
                    <a:noFill/>
                    <a:ln w="9525">
                      <a:noFill/>
                      <a:headEnd/>
                      <a:tailEnd/>
                    </a:ln>
                  </pic:spPr>
                </pic:pic>
              </a:graphicData>
            </a:graphic>
          </wp:inline>
        </w:drawing>
      </w:r>
    </w:p>
    <w:bookmarkEnd w:id="28"/>
    <w:bookmarkStart w:id="29" w:name="configure-the-method"/>
    <w:p>
      <w:pPr>
        <w:pStyle w:val="Heading3"/>
      </w:pPr>
      <w:r>
        <w:t xml:space="preserve">Configure the Method</w:t>
      </w:r>
    </w:p>
    <w:p>
      <w:pPr>
        <w:pStyle w:val="FirstParagraph"/>
      </w:pPr>
      <w:r>
        <w:t xml:space="preserve">The next step is to instantiate the method and, when necessary, fit it to the selected series. This is where the notebook makes its analytical choice explicit: the parameters chosen here determine what kind of pattern the detector or transformer will become sensitive to and how the later outputs should be interpreted.</w:t>
      </w:r>
    </w:p>
    <w:p>
      <w:pPr>
        <w:pStyle w:val="SourceCode"/>
      </w:pPr>
      <w:r>
        <w:rPr>
          <w:rStyle w:val="CommentTok"/>
        </w:rPr>
        <w:t xml:space="preserve"># Configure the FFT+BinSeg detector</w:t>
      </w:r>
      <w:r>
        <w:br/>
      </w:r>
      <w:r>
        <w:rPr>
          <w:rStyle w:val="NormalTok"/>
        </w:rPr>
        <w:t xml:space="preserve">model </w:t>
      </w:r>
      <w:r>
        <w:rPr>
          <w:rStyle w:val="OtherTok"/>
        </w:rPr>
        <w:t xml:space="preserve">&lt;-</w:t>
      </w:r>
      <w:r>
        <w:rPr>
          <w:rStyle w:val="NormalTok"/>
        </w:rPr>
        <w:t xml:space="preserve"> </w:t>
      </w:r>
      <w:r>
        <w:rPr>
          <w:rStyle w:val="FunctionTok"/>
        </w:rPr>
        <w:t xml:space="preserve">hanr_fft_binseg</w:t>
      </w:r>
      <w:r>
        <w:rPr>
          <w:rStyle w:val="NormalTok"/>
        </w:rPr>
        <w:t xml:space="preserve">()</w:t>
      </w:r>
    </w:p>
    <w:p>
      <w:pPr>
        <w:pStyle w:val="SourceCode"/>
      </w:pPr>
      <w:r>
        <w:rPr>
          <w:rStyle w:val="CommentTok"/>
        </w:rPr>
        <w:t xml:space="preserve"># Fit the detector</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29"/>
    <w:bookmarkStart w:id="30" w:name="run-the-core-analysis"/>
    <w:p>
      <w:pPr>
        <w:pStyle w:val="Heading3"/>
      </w:pPr>
      <w:r>
        <w:t xml:space="preserve">Run the Core Analysis</w:t>
      </w:r>
    </w:p>
    <w:p>
      <w:pPr>
        <w:pStyle w:val="FirstParagraph"/>
      </w:pPr>
      <w:r>
        <w:t xml:space="preserve">With the environment and the method ready, we execute the central analytical step and inspect its immediate output. This is the point where the abstract idea described earlier becomes operational, so the reader should pay attention to what is produced and how Harbinger standardizes the result.</w:t>
      </w:r>
    </w:p>
    <w:p>
      <w:pPr>
        <w:pStyle w:val="SourceCode"/>
      </w:pPr>
      <w:r>
        <w:rPr>
          <w:rStyle w:val="CommentTok"/>
        </w:rPr>
        <w:t xml:space="preserve"># Run detection</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detected anomaly indices</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50  TRUE anomaly</w:t>
      </w:r>
    </w:p>
    <w:bookmarkEnd w:id="30"/>
    <w:bookmarkStart w:id="31" w:name="evaluate-what-was-found"/>
    <w:p>
      <w:pPr>
        <w:pStyle w:val="Heading3"/>
      </w:pPr>
      <w:r>
        <w:t xml:space="preserve">Evaluate What Was Found</w:t>
      </w:r>
    </w:p>
    <w:p>
      <w:pPr>
        <w:pStyle w:val="FirstParagraph"/>
      </w:pPr>
      <w:r>
        <w:t xml:space="preserve">After producing detections or transformed outputs, we compare them with the reference labels whenever they are available. This stage matters because it connects the visual intuition of the method with an explicit measurement of quality, helping the learner understand not only whether the method runs, but how well it behaves.</w:t>
      </w:r>
    </w:p>
    <w:p>
      <w:pPr>
        <w:pStyle w:val="SourceCode"/>
      </w:pPr>
      <w:r>
        <w:rPr>
          <w:rStyle w:val="CommentTok"/>
        </w:rPr>
        <w:t xml:space="preserve"># Evaluate detections against labels</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bookmarkEnd w:id="31"/>
    <w:bookmarkStart w:id="38" w:name="interpret-the-result-visually-1"/>
    <w:p>
      <w:pPr>
        <w:pStyle w:val="Heading3"/>
      </w:pPr>
      <w:r>
        <w:t xml:space="preserve">Interpret the Result Visually</w:t>
      </w:r>
    </w:p>
    <w:p>
      <w:pPr>
        <w:pStyle w:val="FirstParagraph"/>
      </w:pPr>
      <w:r>
        <w:t xml:space="preserve">The final plots are not just illustrations. They help the reader connect the method’s internal output with the original series, making it easier to see why a point, range, motif, or symbolic pattern was emphasized and whether that emphasis is coherent with the stated objective of the example.</w:t>
      </w:r>
    </w:p>
    <w:p>
      <w:pPr>
        <w:pStyle w:val="SourceCode"/>
      </w:pPr>
      <w:r>
        <w:rPr>
          <w:rStyle w:val="CommentTok"/>
        </w:rPr>
        <w:t xml:space="preserve"># Plot detections vs. ground truth</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33" name="Picture"/>
            <a:graphic>
              <a:graphicData uri="http://schemas.openxmlformats.org/drawingml/2006/picture">
                <pic:pic>
                  <pic:nvPicPr>
                    <pic:cNvPr descr="/home/gpca/harbinger/examples/anomalies/doc/08-regression-hanr_fft_binseg_files/figure-docx/unnamed-chunk-11-1.png" id="34" name="Picture"/>
                    <pic:cNvPicPr>
                      <a:picLocks noChangeArrowheads="1" noChangeAspect="1"/>
                    </pic:cNvPicPr>
                  </pic:nvPicPr>
                  <pic:blipFill>
                    <a:blip r:embed="rId32"/>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magnitude and decision thresholds</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36" name="Picture"/>
            <a:graphic>
              <a:graphicData uri="http://schemas.openxmlformats.org/drawingml/2006/picture">
                <pic:pic>
                  <pic:nvPicPr>
                    <pic:cNvPr descr="/home/gpca/harbinger/examples/anomalies/doc/08-regression-hanr_fft_binseg_files/figure-docx/unnamed-chunk-12-1.png" id="37" name="Picture"/>
                    <pic:cNvPicPr>
                      <a:picLocks noChangeArrowheads="1" noChangeAspect="1"/>
                    </pic:cNvPicPr>
                  </pic:nvPicPr>
                  <pic:blipFill>
                    <a:blip r:embed="rId35"/>
                    <a:stretch>
                      <a:fillRect/>
                    </a:stretch>
                  </pic:blipFill>
                  <pic:spPr bwMode="auto">
                    <a:xfrm>
                      <a:off x="0" y="0"/>
                      <a:ext cx="4620126" cy="3696101"/>
                    </a:xfrm>
                    <a:prstGeom prst="rect">
                      <a:avLst/>
                    </a:prstGeom>
                    <a:noFill/>
                    <a:ln w="9525">
                      <a:noFill/>
                      <a:headEnd/>
                      <a:tailEnd/>
                    </a:ln>
                  </pic:spPr>
                </pic:pic>
              </a:graphicData>
            </a:graphic>
          </wp:inline>
        </w:drawing>
      </w:r>
    </w:p>
    <w:bookmarkEnd w:id="38"/>
    <w:bookmarkEnd w:id="39"/>
    <w:bookmarkStart w:id="41" w:name="references"/>
    <w:p>
      <w:pPr>
        <w:pStyle w:val="Heading2"/>
      </w:pPr>
      <w:r>
        <w:t xml:space="preserve">References</w:t>
      </w:r>
    </w:p>
    <w:p>
      <w:pPr>
        <w:pStyle w:val="Compact"/>
        <w:numPr>
          <w:ilvl w:val="0"/>
          <w:numId w:val="1002"/>
        </w:numPr>
      </w:pPr>
      <w:r>
        <w:t xml:space="preserve">Sobrinho, E. P., et al. Fine-Tuning Detection Criteria for Enhancing Anomaly Detection in Time Series. SBBD, 2025.</w:t>
      </w:r>
      <w:r>
        <w:t xml:space="preserve"> </w:t>
      </w:r>
      <w:hyperlink r:id="rId40">
        <w:r>
          <w:rPr>
            <w:rStyle w:val="Hyperlink"/>
          </w:rPr>
          <w:t xml:space="preserve">doi:10.5753/sbbd.2025.247063</w:t>
        </w:r>
      </w:hyperlink>
    </w:p>
    <w:bookmarkEnd w:id="4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2" Target="media/rId32.png" /><Relationship Type="http://schemas.openxmlformats.org/officeDocument/2006/relationships/image" Id="rId35" Target="media/rId35.png" /><Relationship Type="http://schemas.openxmlformats.org/officeDocument/2006/relationships/image" Id="rId25" Target="media/rId25.png" /><Relationship Type="http://schemas.openxmlformats.org/officeDocument/2006/relationships/hyperlink" Id="rId40" Target="doi:10.5753/sbbd.2025.247063" TargetMode="External" /></Relationships>
</file>

<file path=word/_rels/footnotes.xml.rels><?xml version="1.0" encoding="UTF-8"?><Relationships xmlns="http://schemas.openxmlformats.org/package/2006/relationships"><Relationship Type="http://schemas.openxmlformats.org/officeDocument/2006/relationships/hyperlink" Id="rId40" Target="doi:10.5753/sbbd.2025.24706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2026-03-13T00:34:22Z</dcterms:created>
  <dcterms:modified xsi:type="dcterms:W3CDTF">2026-03-13T00:34:22Z</dcterms:modified>
</cp:coreProperties>
</file>

<file path=docProps/custom.xml><?xml version="1.0" encoding="utf-8"?>
<Properties xmlns="http://schemas.openxmlformats.org/officeDocument/2006/custom-properties" xmlns:vt="http://schemas.openxmlformats.org/officeDocument/2006/docPropsVTypes"/>
</file>