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35.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This notebook demonstrates anomaly detection using an LSTM regressor (</w:t>
      </w:r>
      <w:r>
        <w:rPr>
          <w:rStyle w:val="VerbatimChar"/>
        </w:rPr>
        <w:t xml:space="preserve">hanr_ml + ts_lstm</w:t>
      </w:r>
      <w:r>
        <w:t xml:space="preserve">). The model predicts the next value capturing temporal dependencies; anomalies are flagged when residuals exceed a learned threshold. Steps: load packages/data, visualize, define and fit the model, detect, evaluate, and plot results and residuals.</w:t>
      </w:r>
    </w:p>
    <w:bookmarkEnd w:id="20"/>
    <w:bookmarkStart w:id="21" w:name="method-at-a-glance"/>
    <w:p>
      <w:pPr>
        <w:pStyle w:val="Heading2"/>
      </w:pPr>
      <w:r>
        <w:t xml:space="preserve">Method at a glance</w:t>
      </w:r>
    </w:p>
    <w:p>
      <w:pPr>
        <w:pStyle w:val="FirstParagraph"/>
      </w:pPr>
      <w:r>
        <w:t xml:space="preserve">LSTM regression anomaly detection: Model-deviation detection using ML regression: an LSTM forecaster predicts the next value from a sliding window; large prediction errors are flagged as anomalies. Implemented via DALToolbox regressors and thresholded with</w:t>
      </w:r>
      <w:r>
        <w:t xml:space="preserve"> </w:t>
      </w:r>
      <w:r>
        <w:rPr>
          <w:rStyle w:val="VerbatimChar"/>
        </w:rPr>
        <w:t xml:space="preserve">harutils()</w:t>
      </w:r>
      <w:r>
        <w:t xml:space="preserve">.</w:t>
      </w:r>
    </w:p>
    <w:bookmarkEnd w:id="21"/>
    <w:bookmarkStart w:id="22"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End w:id="22"/>
    <w:bookmarkStart w:id="23" w:name="how-to-read-this-walkthrough"/>
    <w:p>
      <w:pPr>
        <w:pStyle w:val="Heading2"/>
      </w:pPr>
      <w:r>
        <w:t xml:space="preserve">How to read this walkthrough</w:t>
      </w:r>
    </w:p>
    <w:p>
      <w:pPr>
        <w:pStyle w:val="FirstParagraph"/>
      </w:pPr>
      <w:r>
        <w:t xml:space="preserve">The code blocks below follow the same learning rhythm used throughout the collection: prepare the environment, choose the dataset, configure the method, run the analysis, and then inspect the result. Readers who are still learning time-series mining can use that order to understand not only</w:t>
      </w:r>
      <w:r>
        <w:t xml:space="preserve"> </w:t>
      </w:r>
      <w:r>
        <w:rPr>
          <w:i/>
          <w:iCs/>
        </w:rPr>
        <w:t xml:space="preserve">what</w:t>
      </w:r>
      <w:r>
        <w:t xml:space="preserve"> </w:t>
      </w:r>
      <w:r>
        <w:t xml:space="preserve">each command does, but also</w:t>
      </w:r>
      <w:r>
        <w:t xml:space="preserve"> </w:t>
      </w:r>
      <w:r>
        <w:rPr>
          <w:i/>
          <w:iCs/>
        </w:rPr>
        <w:t xml:space="preserve">why</w:t>
      </w:r>
      <w:r>
        <w:t xml:space="preserve"> </w:t>
      </w:r>
      <w:r>
        <w:t xml:space="preserve">it appears at that stage of the workflow.</w:t>
      </w:r>
    </w:p>
    <w:p>
      <w:pPr>
        <w:pStyle w:val="BodyText"/>
      </w:pPr>
      <w:r>
        <w:t xml:space="preserve">As you go through the notebook, read the inline comments inside each chunk as the operational explanation and use the surrounding prose as the conceptual guide.</w:t>
      </w:r>
    </w:p>
    <w:bookmarkEnd w:id="23"/>
    <w:bookmarkStart w:id="39" w:name="walkthrough"/>
    <w:p>
      <w:pPr>
        <w:pStyle w:val="Heading2"/>
      </w:pPr>
      <w:r>
        <w:t xml:space="preserve">Walkthrough</w:t>
      </w:r>
    </w:p>
    <w:bookmarkStart w:id="24" w:name="prepare-the-example"/>
    <w:p>
      <w:pPr>
        <w:pStyle w:val="Heading3"/>
      </w:pPr>
      <w:r>
        <w:t xml:space="preserve">Prepare the Example</w:t>
      </w:r>
    </w:p>
    <w:p>
      <w:pPr>
        <w:pStyle w:val="FirstParagraph"/>
      </w:pPr>
      <w:r>
        <w:t xml:space="preserve">We begin by organizing the environment, loading the packages, and selecting the dataset used in the notebook. This part is intentionally more direct: the goal is to make the starting point explicit before the method-specific reasoning begins.</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r>
        <w:br/>
      </w:r>
      <w:r>
        <w:rPr>
          <w:rStyle w:val="FunctionTok"/>
        </w:rPr>
        <w:t xml:space="preserve">library</w:t>
      </w:r>
      <w:r>
        <w:rPr>
          <w:rStyle w:val="NormalTok"/>
        </w:rPr>
        <w:t xml:space="preserve">(tspredit)</w:t>
      </w:r>
      <w:r>
        <w:br/>
      </w:r>
      <w:r>
        <w:rPr>
          <w:rStyle w:val="FunctionTok"/>
        </w:rPr>
        <w:t xml:space="preserve">library</w:t>
      </w:r>
      <w:r>
        <w:rPr>
          <w:rStyle w:val="NormalTok"/>
        </w:rPr>
        <w:t xml:space="preserve">(daltoolboxdp)</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Select a simple synthetic time series with labeled 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24"/>
    <w:bookmarkStart w:id="28" w:name="interpret-the-result-visually"/>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26" name="Picture"/>
            <a:graphic>
              <a:graphicData uri="http://schemas.openxmlformats.org/drawingml/2006/picture">
                <pic:pic>
                  <pic:nvPicPr>
                    <pic:cNvPr descr="/home/gpca/harbinger/examples/anomalies/doc/19-regression-ml-hanr_ml_lstm_files/figure-docx/unnamed-chunk-5-1.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bookmarkEnd w:id="28"/>
    <w:bookmarkStart w:id="29" w:name="configure-the-method"/>
    <w:p>
      <w:pPr>
        <w:pStyle w:val="Heading3"/>
      </w:pPr>
      <w:r>
        <w:t xml:space="preserve">Configure the Method</w:t>
      </w:r>
    </w:p>
    <w:p>
      <w:pPr>
        <w:pStyle w:val="FirstParagraph"/>
      </w:pPr>
      <w:r>
        <w:t xml:space="preserve">The next step is to instantiate the method and, when necessary, fit it to the selected series. This is where the notebook makes its analytical choice explicit: the parameters chosen here determine what kind of pattern the detector or transformer will become sensitive to and how the later outputs should be interpreted.</w:t>
      </w:r>
    </w:p>
    <w:p>
      <w:pPr>
        <w:pStyle w:val="SourceCode"/>
      </w:pPr>
      <w:r>
        <w:rPr>
          <w:rStyle w:val="CommentTok"/>
        </w:rPr>
        <w:t xml:space="preserve"># Define LSTM-based regressor (hanr_ml + ts_lstm)</w:t>
      </w:r>
      <w:r>
        <w:br/>
      </w:r>
      <w:r>
        <w:rPr>
          <w:rStyle w:val="CommentTok"/>
        </w:rPr>
        <w:t xml:space="preserve"># - input_size: window length; epochs: training iterations</w:t>
      </w:r>
      <w:r>
        <w:br/>
      </w:r>
      <w:r>
        <w:rPr>
          <w:rStyle w:val="NormalTok"/>
        </w:rPr>
        <w:t xml:space="preserve">  model </w:t>
      </w:r>
      <w:r>
        <w:rPr>
          <w:rStyle w:val="OtherTok"/>
        </w:rPr>
        <w:t xml:space="preserve">&lt;-</w:t>
      </w:r>
      <w:r>
        <w:rPr>
          <w:rStyle w:val="NormalTok"/>
        </w:rPr>
        <w:t xml:space="preserve"> </w:t>
      </w:r>
      <w:r>
        <w:rPr>
          <w:rStyle w:val="FunctionTok"/>
        </w:rPr>
        <w:t xml:space="preserve">hanr_ml</w:t>
      </w:r>
      <w:r>
        <w:rPr>
          <w:rStyle w:val="NormalTok"/>
        </w:rPr>
        <w:t xml:space="preserve">(</w:t>
      </w:r>
      <w:r>
        <w:rPr>
          <w:rStyle w:val="FunctionTok"/>
        </w:rPr>
        <w:t xml:space="preserve">ts_lstm</w:t>
      </w:r>
      <w:r>
        <w:rPr>
          <w:rStyle w:val="NormalTok"/>
        </w:rPr>
        <w:t xml:space="preserve">(</w:t>
      </w:r>
      <w:r>
        <w:rPr>
          <w:rStyle w:val="FunctionTok"/>
        </w:rPr>
        <w:t xml:space="preserve">ts_norm_gminmax</w:t>
      </w:r>
      <w:r>
        <w:rPr>
          <w:rStyle w:val="NormalTok"/>
        </w:rPr>
        <w:t xml:space="preserve">(), </w:t>
      </w:r>
      <w:r>
        <w:rPr>
          <w:rStyle w:val="AttributeTok"/>
        </w:rPr>
        <w:t xml:space="preserve">input_size=</w:t>
      </w:r>
      <w:r>
        <w:rPr>
          <w:rStyle w:val="DecValTok"/>
        </w:rPr>
        <w:t xml:space="preserve">4</w:t>
      </w:r>
      <w:r>
        <w:rPr>
          <w:rStyle w:val="NormalTok"/>
        </w:rPr>
        <w:t xml:space="preserve">, </w:t>
      </w:r>
      <w:r>
        <w:rPr>
          <w:rStyle w:val="AttributeTok"/>
        </w:rPr>
        <w:t xml:space="preserve">epochs=</w:t>
      </w:r>
      <w:r>
        <w:rPr>
          <w:rStyle w:val="DecValTok"/>
        </w:rPr>
        <w:t xml:space="preserve">10000</w:t>
      </w:r>
      <w:r>
        <w:rPr>
          <w:rStyle w:val="NormalTok"/>
        </w:rPr>
        <w:t xml:space="preserve">))</w:t>
      </w:r>
    </w:p>
    <w:p>
      <w:pPr>
        <w:pStyle w:val="SourceCode"/>
      </w:pPr>
      <w:r>
        <w:rPr>
          <w:rStyle w:val="CommentTok"/>
        </w:rPr>
        <w:t xml:space="preserve"># Fit the model</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29"/>
    <w:bookmarkStart w:id="30" w:name="run-the-core-analysis"/>
    <w:p>
      <w:pPr>
        <w:pStyle w:val="Heading3"/>
      </w:pPr>
      <w:r>
        <w:t xml:space="preserve">Run the Core Analysis</w:t>
      </w:r>
    </w:p>
    <w:p>
      <w:pPr>
        <w:pStyle w:val="FirstParagraph"/>
      </w:pPr>
      <w:r>
        <w:t xml:space="preserve">With the environment and the method ready, we execute the central analytical step and inspect its immediate output. This is the point where the abstract idea described earlier becomes operational, so the reader should pay attention to what is produced and how Harbinger standardizes the result.</w:t>
      </w:r>
    </w:p>
    <w:p>
      <w:pPr>
        <w:pStyle w:val="SourceCode"/>
      </w:pPr>
      <w:r>
        <w:rPr>
          <w:rStyle w:val="CommentTok"/>
        </w:rPr>
        <w:t xml:space="preserve"># Detect anomalies (compute residuals and events)</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r>
        <w:br/>
      </w:r>
      <w:r>
        <w:rPr>
          <w:rStyle w:val="VerbatimChar"/>
        </w:rPr>
        <w:t xml:space="preserve">## 2  54  TRUE anomaly</w:t>
      </w:r>
    </w:p>
    <w:bookmarkEnd w:id="30"/>
    <w:bookmarkStart w:id="31" w:name="evaluate-what-was-found"/>
    <w:p>
      <w:pPr>
        <w:pStyle w:val="Heading3"/>
      </w:pPr>
      <w:r>
        <w:t xml:space="preserve">Evaluate What Was Found</w:t>
      </w:r>
    </w:p>
    <w:p>
      <w:pPr>
        <w:pStyle w:val="FirstParagraph"/>
      </w:pPr>
      <w:r>
        <w:t xml:space="preserve">After producing detections or transformed outputs, we compare them with the reference labels whenever they are available. This stage matters because it connects the visual intuition of the method with an explicit measurement of quality, helping the learner understand not only whether the method runs, but how well it behaves.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1    </w:t>
      </w:r>
      <w:r>
        <w:br/>
      </w:r>
      <w:r>
        <w:rPr>
          <w:rStyle w:val="VerbatimChar"/>
        </w:rPr>
        <w:t xml:space="preserve">## FALSE     0     99</w:t>
      </w:r>
    </w:p>
    <w:bookmarkEnd w:id="31"/>
    <w:bookmarkStart w:id="38" w:name="interpret-the-result-visually-1"/>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3" name="Picture"/>
            <a:graphic>
              <a:graphicData uri="http://schemas.openxmlformats.org/drawingml/2006/picture">
                <pic:pic>
                  <pic:nvPicPr>
                    <pic:cNvPr descr="/home/gpca/harbinger/examples/anomalies/doc/19-regression-ml-hanr_ml_lstm_files/figure-docx/unnamed-chunk-11-1.png" id="34" name="Picture"/>
                    <pic:cNvPicPr>
                      <a:picLocks noChangeArrowheads="1" noChangeAspect="1"/>
                    </pic:cNvPicPr>
                  </pic:nvPicPr>
                  <pic:blipFill>
                    <a:blip r:embed="rId3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NormalTok"/>
        </w:rPr>
        <w:t xml:space="preserve">  </w:t>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36" name="Picture"/>
            <a:graphic>
              <a:graphicData uri="http://schemas.openxmlformats.org/drawingml/2006/picture">
                <pic:pic>
                  <pic:nvPicPr>
                    <pic:cNvPr descr="/home/gpca/harbinger/examples/anomalies/doc/19-regression-ml-hanr_ml_lstm_files/figure-docx/unnamed-chunk-12-1.png" id="37" name="Picture"/>
                    <pic:cNvPicPr>
                      <a:picLocks noChangeArrowheads="1" noChangeAspect="1"/>
                    </pic:cNvPicPr>
                  </pic:nvPicPr>
                  <pic:blipFill>
                    <a:blip r:embed="rId35"/>
                    <a:stretch>
                      <a:fillRect/>
                    </a:stretch>
                  </pic:blipFill>
                  <pic:spPr bwMode="auto">
                    <a:xfrm>
                      <a:off x="0" y="0"/>
                      <a:ext cx="4620126" cy="3696101"/>
                    </a:xfrm>
                    <a:prstGeom prst="rect">
                      <a:avLst/>
                    </a:prstGeom>
                    <a:noFill/>
                    <a:ln w="9525">
                      <a:noFill/>
                      <a:headEnd/>
                      <a:tailEnd/>
                    </a:ln>
                  </pic:spPr>
                </pic:pic>
              </a:graphicData>
            </a:graphic>
          </wp:inline>
        </w:drawing>
      </w:r>
    </w:p>
    <w:bookmarkEnd w:id="38"/>
    <w:bookmarkEnd w:id="39"/>
    <w:bookmarkStart w:id="40" w:name="references"/>
    <w:p>
      <w:pPr>
        <w:pStyle w:val="Heading2"/>
      </w:pPr>
      <w:r>
        <w:t xml:space="preserve">References</w:t>
      </w:r>
    </w:p>
    <w:p>
      <w:pPr>
        <w:pStyle w:val="Compact"/>
        <w:numPr>
          <w:ilvl w:val="0"/>
          <w:numId w:val="1002"/>
        </w:numPr>
      </w:pPr>
      <w:r>
        <w:t xml:space="preserve">Goodfellow, I., Bengio, Y., Courville, A. (2016). Deep Learning. MIT Press.</w:t>
      </w:r>
    </w:p>
    <w:p>
      <w:pPr>
        <w:pStyle w:val="Compact"/>
        <w:numPr>
          <w:ilvl w:val="0"/>
          <w:numId w:val="1002"/>
        </w:numPr>
      </w:pPr>
      <w:r>
        <w:t xml:space="preserve">Hyndman, R. J., Athanasopoulos, G. (2021). Forecasting: Principles and Practice. OTexts.</w:t>
      </w:r>
    </w:p>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25" Target="media/rId2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2026-03-13T00:34:47Z</dcterms:created>
  <dcterms:modified xsi:type="dcterms:W3CDTF">2026-03-13T00:34:47Z</dcterms:modified>
</cp:coreProperties>
</file>

<file path=docProps/custom.xml><?xml version="1.0" encoding="utf-8"?>
<Properties xmlns="http://schemas.openxmlformats.org/officeDocument/2006/custom-properties" xmlns:vt="http://schemas.openxmlformats.org/officeDocument/2006/docPropsVTypes"/>
</file>