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5.png" ContentType="image/png"/>
  <Override PartName="/word/media/rId38.png" ContentType="image/png"/>
  <Override PartName="/word/media/rId25.png" ContentType="image/png"/>
  <Override PartName="/word/media/rId3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0" w:name="objective"/>
    <w:p>
      <w:pPr>
        <w:pStyle w:val="Heading2"/>
      </w:pPr>
      <w:r>
        <w:t xml:space="preserve">Objective</w:t>
      </w:r>
    </w:p>
    <w:p>
      <w:pPr>
        <w:pStyle w:val="FirstParagraph"/>
      </w:pPr>
      <w:r>
        <w:t xml:space="preserve">This Rmd shows supervised anomaly classification using</w:t>
      </w:r>
      <w:r>
        <w:t xml:space="preserve"> </w:t>
      </w:r>
      <w:r>
        <w:rPr>
          <w:rStyle w:val="VerbatimChar"/>
        </w:rPr>
        <w:t xml:space="preserve">hanc_ml</w:t>
      </w:r>
      <w:r>
        <w:t xml:space="preserve"> </w:t>
      </w:r>
      <w:r>
        <w:t xml:space="preserve">with k-Nearest Neighbors (</w:t>
      </w:r>
      <w:r>
        <w:rPr>
          <w:rStyle w:val="VerbatimChar"/>
        </w:rPr>
        <w:t xml:space="preserve">cla_knn</w:t>
      </w:r>
      <w:r>
        <w:t xml:space="preserve">). It uses labeled events, a simple train/test split, and min–max normalization. Steps: load packages/data, visualize, preprocess, define and fit the classifier, detect, evaluate, and plot results.</w:t>
      </w:r>
    </w:p>
    <w:bookmarkEnd w:id="20"/>
    <w:bookmarkStart w:id="21" w:name="method-at-a-glance"/>
    <w:p>
      <w:pPr>
        <w:pStyle w:val="Heading2"/>
      </w:pPr>
      <w:r>
        <w:t xml:space="preserve">Method at a glance</w:t>
      </w:r>
    </w:p>
    <w:p>
      <w:pPr>
        <w:pStyle w:val="FirstParagraph"/>
      </w:pPr>
      <w:r>
        <w:t xml:space="preserve">k-NN classification anomaly detector: Supervised anomaly detection using k-NN classification on labeled data; positive-class probabilities above a threshold indicate events.</w:t>
      </w:r>
    </w:p>
    <w:bookmarkEnd w:id="21"/>
    <w:bookmarkStart w:id="22" w:name="what-you-will-do"/>
    <w:p>
      <w:pPr>
        <w:pStyle w:val="Heading2"/>
      </w:pPr>
      <w:r>
        <w:t xml:space="preserve">What you will do</w:t>
      </w:r>
    </w:p>
    <w:p>
      <w:pPr>
        <w:pStyle w:val="Compact"/>
        <w:numPr>
          <w:ilvl w:val="0"/>
          <w:numId w:val="1001"/>
        </w:numPr>
      </w:pPr>
      <w:r>
        <w:t xml:space="preserve">understand the purpose of the example and when the technique is useful</w:t>
      </w:r>
    </w:p>
    <w:p>
      <w:pPr>
        <w:pStyle w:val="Compact"/>
        <w:numPr>
          <w:ilvl w:val="0"/>
          <w:numId w:val="1001"/>
        </w:numPr>
      </w:pPr>
      <w:r>
        <w:t xml:space="preserve">follow the workflow from data loading to model fitting and detection</w:t>
      </w:r>
    </w:p>
    <w:p>
      <w:pPr>
        <w:pStyle w:val="Compact"/>
        <w:numPr>
          <w:ilvl w:val="0"/>
          <w:numId w:val="1001"/>
        </w:numPr>
      </w:pPr>
      <w:r>
        <w:t xml:space="preserve">inspect the evaluation outputs and the diagnostic plots produced by Harbinger</w:t>
      </w:r>
    </w:p>
    <w:bookmarkEnd w:id="22"/>
    <w:bookmarkStart w:id="23" w:name="how-to-read-this-walkthrough"/>
    <w:p>
      <w:pPr>
        <w:pStyle w:val="Heading2"/>
      </w:pPr>
      <w:r>
        <w:t xml:space="preserve">How to read this walkthrough</w:t>
      </w:r>
    </w:p>
    <w:p>
      <w:pPr>
        <w:pStyle w:val="FirstParagraph"/>
      </w:pPr>
      <w:r>
        <w:t xml:space="preserve">The code blocks below follow the same learning rhythm used throughout the collection: prepare the environment, choose the dataset, configure the method, run the analysis, and then inspect the result. Readers who are still learning time-series mining can use that order to understand not only</w:t>
      </w:r>
      <w:r>
        <w:t xml:space="preserve"> </w:t>
      </w:r>
      <w:r>
        <w:rPr>
          <w:i/>
          <w:iCs/>
        </w:rPr>
        <w:t xml:space="preserve">what</w:t>
      </w:r>
      <w:r>
        <w:t xml:space="preserve"> </w:t>
      </w:r>
      <w:r>
        <w:t xml:space="preserve">each command does, but also</w:t>
      </w:r>
      <w:r>
        <w:t xml:space="preserve"> </w:t>
      </w:r>
      <w:r>
        <w:rPr>
          <w:i/>
          <w:iCs/>
        </w:rPr>
        <w:t xml:space="preserve">why</w:t>
      </w:r>
      <w:r>
        <w:t xml:space="preserve"> </w:t>
      </w:r>
      <w:r>
        <w:t xml:space="preserve">it appears at that stage of the workflow.</w:t>
      </w:r>
    </w:p>
    <w:p>
      <w:pPr>
        <w:pStyle w:val="BodyText"/>
      </w:pPr>
      <w:r>
        <w:t xml:space="preserve">As you go through the notebook, read the inline comments inside each chunk as the operational explanation and use the surrounding prose as the conceptual guide.</w:t>
      </w:r>
    </w:p>
    <w:bookmarkEnd w:id="23"/>
    <w:bookmarkStart w:id="42" w:name="walkthrough"/>
    <w:p>
      <w:pPr>
        <w:pStyle w:val="Heading2"/>
      </w:pPr>
      <w:r>
        <w:t xml:space="preserve">Walkthrough</w:t>
      </w:r>
    </w:p>
    <w:bookmarkStart w:id="24" w:name="prepare-the-example"/>
    <w:p>
      <w:pPr>
        <w:pStyle w:val="Heading3"/>
      </w:pPr>
      <w:r>
        <w:t xml:space="preserve">Prepare the Example</w:t>
      </w:r>
    </w:p>
    <w:p>
      <w:pPr>
        <w:pStyle w:val="FirstParagraph"/>
      </w:pPr>
      <w:r>
        <w:t xml:space="preserve">We begin by organizing the environment, loading the packages, and selecting the dataset used in the notebook. This part is intentionally more direct: the goal is to make the starting point explicit before the method-specific reasoning begins.</w:t>
      </w:r>
    </w:p>
    <w:p>
      <w:pPr>
        <w:pStyle w:val="SourceCode"/>
      </w:pPr>
      <w:r>
        <w:rPr>
          <w:rStyle w:val="CommentTok"/>
        </w:rPr>
        <w:t xml:space="preserve"># Install Harbinger (only once, if needed)</w:t>
      </w:r>
      <w:r>
        <w:br/>
      </w:r>
      <w:r>
        <w:rPr>
          <w:rStyle w:val="CommentTok"/>
        </w:rPr>
        <w:t xml:space="preserve">#install.packages("harbinger")</w:t>
      </w:r>
    </w:p>
    <w:p>
      <w:pPr>
        <w:pStyle w:val="SourceCode"/>
      </w:pPr>
      <w:r>
        <w:rPr>
          <w:rStyle w:val="CommentTok"/>
        </w:rPr>
        <w:t xml:space="preserve"># Load required packages</w:t>
      </w:r>
      <w:r>
        <w:br/>
      </w:r>
      <w:r>
        <w:rPr>
          <w:rStyle w:val="FunctionTok"/>
        </w:rPr>
        <w:t xml:space="preserve">library</w:t>
      </w:r>
      <w:r>
        <w:rPr>
          <w:rStyle w:val="NormalTok"/>
        </w:rPr>
        <w:t xml:space="preserve">(daltoolbox)</w:t>
      </w:r>
      <w:r>
        <w:br/>
      </w:r>
      <w:r>
        <w:rPr>
          <w:rStyle w:val="FunctionTok"/>
        </w:rPr>
        <w:t xml:space="preserve">library</w:t>
      </w:r>
      <w:r>
        <w:rPr>
          <w:rStyle w:val="NormalTok"/>
        </w:rPr>
        <w:t xml:space="preserve">(harbinger) </w:t>
      </w:r>
    </w:p>
    <w:p>
      <w:pPr>
        <w:pStyle w:val="SourceCode"/>
      </w:pPr>
      <w:r>
        <w:rPr>
          <w:rStyle w:val="CommentTok"/>
        </w:rPr>
        <w:t xml:space="preserve"># Load example datasets bundled with harbinger</w:t>
      </w:r>
      <w:r>
        <w:br/>
      </w:r>
      <w:r>
        <w:rPr>
          <w:rStyle w:val="FunctionTok"/>
        </w:rPr>
        <w:t xml:space="preserve">data</w:t>
      </w:r>
      <w:r>
        <w:rPr>
          <w:rStyle w:val="NormalTok"/>
        </w:rPr>
        <w:t xml:space="preserve">(examples_anomalies)</w:t>
      </w:r>
    </w:p>
    <w:p>
      <w:pPr>
        <w:pStyle w:val="SourceCode"/>
      </w:pPr>
      <w:r>
        <w:rPr>
          <w:rStyle w:val="CommentTok"/>
        </w:rPr>
        <w:t xml:space="preserve"># Use the "tt" time series (labeled)</w:t>
      </w:r>
      <w:r>
        <w:br/>
      </w:r>
      <w:r>
        <w:rPr>
          <w:rStyle w:val="NormalTok"/>
        </w:rPr>
        <w:t xml:space="preserve">dataset </w:t>
      </w:r>
      <w:r>
        <w:rPr>
          <w:rStyle w:val="OtherTok"/>
        </w:rPr>
        <w:t xml:space="preserve">&lt;-</w:t>
      </w:r>
      <w:r>
        <w:rPr>
          <w:rStyle w:val="NormalTok"/>
        </w:rPr>
        <w:t xml:space="preserve"> examples_anomalies</w:t>
      </w:r>
      <w:r>
        <w:rPr>
          <w:rStyle w:val="SpecialCharTok"/>
        </w:rPr>
        <w:t xml:space="preserve">$</w:t>
      </w:r>
      <w:r>
        <w:rPr>
          <w:rStyle w:val="NormalTok"/>
        </w:rPr>
        <w:t xml:space="preserve">tt</w:t>
      </w:r>
      <w:r>
        <w:br/>
      </w:r>
      <w:r>
        <w:br/>
      </w:r>
      <w:r>
        <w:rPr>
          <w:rStyle w:val="FunctionTok"/>
        </w:rPr>
        <w:t xml:space="preserve">head</w:t>
      </w:r>
      <w:r>
        <w:rPr>
          <w:rStyle w:val="NormalTok"/>
        </w:rPr>
        <w:t xml:space="preserve">(dataset)</w:t>
      </w:r>
    </w:p>
    <w:p>
      <w:pPr>
        <w:pStyle w:val="SourceCode"/>
      </w:pPr>
      <w:r>
        <w:rPr>
          <w:rStyle w:val="VerbatimChar"/>
        </w:rPr>
        <w:t xml:space="preserve">##       serie event</w:t>
      </w:r>
      <w:r>
        <w:br/>
      </w:r>
      <w:r>
        <w:rPr>
          <w:rStyle w:val="VerbatimChar"/>
        </w:rPr>
        <w:t xml:space="preserve">## 1 1.0000000 FALSE</w:t>
      </w:r>
      <w:r>
        <w:br/>
      </w:r>
      <w:r>
        <w:rPr>
          <w:rStyle w:val="VerbatimChar"/>
        </w:rPr>
        <w:t xml:space="preserve">## 2 0.9689124 FALSE</w:t>
      </w:r>
      <w:r>
        <w:br/>
      </w:r>
      <w:r>
        <w:rPr>
          <w:rStyle w:val="VerbatimChar"/>
        </w:rPr>
        <w:t xml:space="preserve">## 3 0.8775826 FALSE</w:t>
      </w:r>
      <w:r>
        <w:br/>
      </w:r>
      <w:r>
        <w:rPr>
          <w:rStyle w:val="VerbatimChar"/>
        </w:rPr>
        <w:t xml:space="preserve">## 4 0.7316889 FALSE</w:t>
      </w:r>
      <w:r>
        <w:br/>
      </w:r>
      <w:r>
        <w:rPr>
          <w:rStyle w:val="VerbatimChar"/>
        </w:rPr>
        <w:t xml:space="preserve">## 5 0.5403023 FALSE</w:t>
      </w:r>
      <w:r>
        <w:br/>
      </w:r>
      <w:r>
        <w:rPr>
          <w:rStyle w:val="VerbatimChar"/>
        </w:rPr>
        <w:t xml:space="preserve">## 6 0.3153224 FALSE</w:t>
      </w:r>
    </w:p>
    <w:bookmarkEnd w:id="24"/>
    <w:bookmarkStart w:id="28" w:name="interpret-the-result-visually"/>
    <w:p>
      <w:pPr>
        <w:pStyle w:val="Heading3"/>
      </w:pPr>
      <w:r>
        <w:t xml:space="preserve">Interpret the Result Visually</w:t>
      </w:r>
    </w:p>
    <w:p>
      <w:pPr>
        <w:pStyle w:val="FirstParagraph"/>
      </w:pPr>
      <w:r>
        <w:t xml:space="preserve">The final plots are not just illustrations. They help the reader connect the method’s internal output with the original series, making it easier to see why a point, range, motif, or symbolic pattern was emphasized and whether that emphasis is coherent with the stated objective of the example.</w:t>
      </w:r>
    </w:p>
    <w:p>
      <w:pPr>
        <w:pStyle w:val="SourceCode"/>
      </w:pPr>
      <w:r>
        <w:rPr>
          <w:rStyle w:val="CommentTok"/>
        </w:rPr>
        <w:t xml:space="preserve"># Plot the time series</w:t>
      </w:r>
      <w:r>
        <w:br/>
      </w:r>
      <w:r>
        <w:rPr>
          <w:rStyle w:val="FunctionTok"/>
        </w:rPr>
        <w:t xml:space="preserve">har_plot</w:t>
      </w:r>
      <w:r>
        <w:rPr>
          <w:rStyle w:val="NormalTok"/>
        </w:rPr>
        <w:t xml:space="preserve">(</w:t>
      </w:r>
      <w:r>
        <w:rPr>
          <w:rStyle w:val="FunctionTok"/>
        </w:rPr>
        <w:t xml:space="preserve">harbinger</w:t>
      </w:r>
      <w:r>
        <w:rPr>
          <w:rStyle w:val="NormalTok"/>
        </w:rPr>
        <w:t xml:space="preserve">(), dataset</w:t>
      </w:r>
      <w:r>
        <w:rPr>
          <w:rStyle w:val="SpecialCharTok"/>
        </w:rPr>
        <w:t xml:space="preserve">$</w:t>
      </w:r>
      <w:r>
        <w:rPr>
          <w:rStyle w:val="NormalTok"/>
        </w:rPr>
        <w:t xml:space="preserve">serie)</w:t>
      </w:r>
    </w:p>
    <w:p>
      <w:pPr>
        <w:pStyle w:val="FirstParagraph"/>
      </w:pPr>
      <w:r>
        <w:drawing>
          <wp:inline>
            <wp:extent cx="4620126" cy="3696101"/>
            <wp:effectExtent b="0" l="0" r="0" t="0"/>
            <wp:docPr descr="" title="" id="26" name="Picture"/>
            <a:graphic>
              <a:graphicData uri="http://schemas.openxmlformats.org/drawingml/2006/picture">
                <pic:pic>
                  <pic:nvPicPr>
                    <pic:cNvPr descr="/home/gpca/harbinger/examples/anomalies/doc/23-classification-hanc_ml_knn_files/figure-docx/unnamed-chunk-5-1.png" id="27" name="Picture"/>
                    <pic:cNvPicPr>
                      <a:picLocks noChangeArrowheads="1" noChangeAspect="1"/>
                    </pic:cNvPicPr>
                  </pic:nvPicPr>
                  <pic:blipFill>
                    <a:blip r:embed="rId25"/>
                    <a:stretch>
                      <a:fillRect/>
                    </a:stretch>
                  </pic:blipFill>
                  <pic:spPr bwMode="auto">
                    <a:xfrm>
                      <a:off x="0" y="0"/>
                      <a:ext cx="4620126" cy="3696101"/>
                    </a:xfrm>
                    <a:prstGeom prst="rect">
                      <a:avLst/>
                    </a:prstGeom>
                    <a:noFill/>
                    <a:ln w="9525">
                      <a:noFill/>
                      <a:headEnd/>
                      <a:tailEnd/>
                    </a:ln>
                  </pic:spPr>
                </pic:pic>
              </a:graphicData>
            </a:graphic>
          </wp:inline>
        </w:drawing>
      </w:r>
    </w:p>
    <w:bookmarkEnd w:id="28"/>
    <w:bookmarkStart w:id="29" w:name="configure-the-method"/>
    <w:p>
      <w:pPr>
        <w:pStyle w:val="Heading3"/>
      </w:pPr>
      <w:r>
        <w:t xml:space="preserve">Configure the Method</w:t>
      </w:r>
    </w:p>
    <w:p>
      <w:pPr>
        <w:pStyle w:val="FirstParagraph"/>
      </w:pPr>
      <w:r>
        <w:t xml:space="preserve">The next step is to instantiate the method and, when necessary, fit it to the selected series. This is where the notebook makes its analytical choice explicit: the parameters chosen here determine what kind of pattern the detector or transformer will become sensitive to and how the later outputs should be interpreted.</w:t>
      </w:r>
    </w:p>
    <w:p>
      <w:pPr>
        <w:pStyle w:val="SourceCode"/>
      </w:pPr>
      <w:r>
        <w:rPr>
          <w:rStyle w:val="CommentTok"/>
        </w:rPr>
        <w:t xml:space="preserve"># Data preprocessing: split and scale</w:t>
      </w:r>
      <w:r>
        <w:br/>
      </w:r>
      <w:r>
        <w:br/>
      </w:r>
      <w:r>
        <w:br/>
      </w:r>
      <w:r>
        <w:rPr>
          <w:rStyle w:val="NormalTok"/>
        </w:rPr>
        <w:t xml:space="preserve">train </w:t>
      </w:r>
      <w:r>
        <w:rPr>
          <w:rStyle w:val="OtherTok"/>
        </w:rPr>
        <w:t xml:space="preserve">&lt;-</w:t>
      </w:r>
      <w:r>
        <w:rPr>
          <w:rStyle w:val="NormalTok"/>
        </w:rPr>
        <w:t xml:space="preserve"> dataset[</w:t>
      </w:r>
      <w:r>
        <w:rPr>
          <w:rStyle w:val="DecValTok"/>
        </w:rPr>
        <w:t xml:space="preserve">1</w:t>
      </w:r>
      <w:r>
        <w:rPr>
          <w:rStyle w:val="SpecialCharTok"/>
        </w:rPr>
        <w:t xml:space="preserve">:</w:t>
      </w:r>
      <w:r>
        <w:rPr>
          <w:rStyle w:val="DecValTok"/>
        </w:rPr>
        <w:t xml:space="preserve">80</w:t>
      </w:r>
      <w:r>
        <w:rPr>
          <w:rStyle w:val="NormalTok"/>
        </w:rPr>
        <w:t xml:space="preserve">,]</w:t>
      </w:r>
      <w:r>
        <w:br/>
      </w:r>
      <w:r>
        <w:rPr>
          <w:rStyle w:val="NormalTok"/>
        </w:rPr>
        <w:t xml:space="preserve">test </w:t>
      </w:r>
      <w:r>
        <w:rPr>
          <w:rStyle w:val="OtherTok"/>
        </w:rPr>
        <w:t xml:space="preserve">&lt;-</w:t>
      </w:r>
      <w:r>
        <w:rPr>
          <w:rStyle w:val="NormalTok"/>
        </w:rPr>
        <w:t xml:space="preserve"> dataset[</w:t>
      </w:r>
      <w:r>
        <w:rPr>
          <w:rStyle w:val="SpecialCharTok"/>
        </w:rPr>
        <w:t xml:space="preserve">-</w:t>
      </w:r>
      <w:r>
        <w:rPr>
          <w:rStyle w:val="NormalTok"/>
        </w:rPr>
        <w:t xml:space="preserve">(</w:t>
      </w:r>
      <w:r>
        <w:rPr>
          <w:rStyle w:val="DecValTok"/>
        </w:rPr>
        <w:t xml:space="preserve">1</w:t>
      </w:r>
      <w:r>
        <w:rPr>
          <w:rStyle w:val="SpecialCharTok"/>
        </w:rPr>
        <w:t xml:space="preserve">:</w:t>
      </w:r>
      <w:r>
        <w:rPr>
          <w:rStyle w:val="DecValTok"/>
        </w:rPr>
        <w:t xml:space="preserve">80</w:t>
      </w:r>
      <w:r>
        <w:rPr>
          <w:rStyle w:val="NormalTok"/>
        </w:rPr>
        <w:t xml:space="preserve">),]</w:t>
      </w:r>
      <w:r>
        <w:br/>
      </w:r>
      <w:r>
        <w:br/>
      </w:r>
      <w:r>
        <w:rPr>
          <w:rStyle w:val="NormalTok"/>
        </w:rPr>
        <w:t xml:space="preserve">norm </w:t>
      </w:r>
      <w:r>
        <w:rPr>
          <w:rStyle w:val="OtherTok"/>
        </w:rPr>
        <w:t xml:space="preserve">&lt;-</w:t>
      </w:r>
      <w:r>
        <w:rPr>
          <w:rStyle w:val="NormalTok"/>
        </w:rPr>
        <w:t xml:space="preserve"> </w:t>
      </w:r>
      <w:r>
        <w:rPr>
          <w:rStyle w:val="FunctionTok"/>
        </w:rPr>
        <w:t xml:space="preserve">minmax</w:t>
      </w:r>
      <w:r>
        <w:rPr>
          <w:rStyle w:val="NormalTok"/>
        </w:rPr>
        <w:t xml:space="preserve">()</w:t>
      </w:r>
      <w:r>
        <w:br/>
      </w:r>
      <w:r>
        <w:rPr>
          <w:rStyle w:val="NormalTok"/>
        </w:rPr>
        <w:t xml:space="preserve">norm </w:t>
      </w:r>
      <w:r>
        <w:rPr>
          <w:rStyle w:val="OtherTok"/>
        </w:rPr>
        <w:t xml:space="preserve">&lt;-</w:t>
      </w:r>
      <w:r>
        <w:rPr>
          <w:rStyle w:val="NormalTok"/>
        </w:rPr>
        <w:t xml:space="preserve"> </w:t>
      </w:r>
      <w:r>
        <w:rPr>
          <w:rStyle w:val="FunctionTok"/>
        </w:rPr>
        <w:t xml:space="preserve">fit</w:t>
      </w:r>
      <w:r>
        <w:rPr>
          <w:rStyle w:val="NormalTok"/>
        </w:rPr>
        <w:t xml:space="preserve">(norm, train)</w:t>
      </w:r>
      <w:r>
        <w:br/>
      </w:r>
      <w:r>
        <w:rPr>
          <w:rStyle w:val="NormalTok"/>
        </w:rPr>
        <w:t xml:space="preserve">train_n </w:t>
      </w:r>
      <w:r>
        <w:rPr>
          <w:rStyle w:val="OtherTok"/>
        </w:rPr>
        <w:t xml:space="preserve">&lt;-</w:t>
      </w:r>
      <w:r>
        <w:rPr>
          <w:rStyle w:val="NormalTok"/>
        </w:rPr>
        <w:t xml:space="preserve"> </w:t>
      </w:r>
      <w:r>
        <w:rPr>
          <w:rStyle w:val="FunctionTok"/>
        </w:rPr>
        <w:t xml:space="preserve">transform</w:t>
      </w:r>
      <w:r>
        <w:rPr>
          <w:rStyle w:val="NormalTok"/>
        </w:rPr>
        <w:t xml:space="preserve">(norm, train)</w:t>
      </w:r>
      <w:r>
        <w:br/>
      </w:r>
      <w:r>
        <w:rPr>
          <w:rStyle w:val="FunctionTok"/>
        </w:rPr>
        <w:t xml:space="preserve">summary</w:t>
      </w:r>
      <w:r>
        <w:rPr>
          <w:rStyle w:val="NormalTok"/>
        </w:rPr>
        <w:t xml:space="preserve">(train_n)</w:t>
      </w:r>
    </w:p>
    <w:p>
      <w:pPr>
        <w:pStyle w:val="SourceCode"/>
      </w:pPr>
      <w:r>
        <w:rPr>
          <w:rStyle w:val="VerbatimChar"/>
        </w:rPr>
        <w:t xml:space="preserve">##      serie          event        </w:t>
      </w:r>
      <w:r>
        <w:br/>
      </w:r>
      <w:r>
        <w:rPr>
          <w:rStyle w:val="VerbatimChar"/>
        </w:rPr>
        <w:t xml:space="preserve">##  Min.   :0.0000   Mode :logical  </w:t>
      </w:r>
      <w:r>
        <w:br/>
      </w:r>
      <w:r>
        <w:rPr>
          <w:rStyle w:val="VerbatimChar"/>
        </w:rPr>
        <w:t xml:space="preserve">##  1st Qu.:0.2859   FALSE:76       </w:t>
      </w:r>
      <w:r>
        <w:br/>
      </w:r>
      <w:r>
        <w:rPr>
          <w:rStyle w:val="VerbatimChar"/>
        </w:rPr>
        <w:t xml:space="preserve">##  Median :0.5348   TRUE :4        </w:t>
      </w:r>
      <w:r>
        <w:br/>
      </w:r>
      <w:r>
        <w:rPr>
          <w:rStyle w:val="VerbatimChar"/>
        </w:rPr>
        <w:t xml:space="preserve">##  Mean   :0.5221                  </w:t>
      </w:r>
      <w:r>
        <w:br/>
      </w:r>
      <w:r>
        <w:rPr>
          <w:rStyle w:val="VerbatimChar"/>
        </w:rPr>
        <w:t xml:space="preserve">##  3rd Qu.:0.7587                  </w:t>
      </w:r>
      <w:r>
        <w:br/>
      </w:r>
      <w:r>
        <w:rPr>
          <w:rStyle w:val="VerbatimChar"/>
        </w:rPr>
        <w:t xml:space="preserve">##  Max.   :1.0000</w:t>
      </w:r>
    </w:p>
    <w:p>
      <w:pPr>
        <w:pStyle w:val="SourceCode"/>
      </w:pPr>
      <w:r>
        <w:rPr>
          <w:rStyle w:val="CommentTok"/>
        </w:rPr>
        <w:t xml:space="preserve"># Define k-NN classifier for events (hanc_ml + cla_knn)</w:t>
      </w:r>
      <w:r>
        <w:br/>
      </w:r>
      <w:r>
        <w:rPr>
          <w:rStyle w:val="NormalTok"/>
        </w:rPr>
        <w:t xml:space="preserve">model </w:t>
      </w:r>
      <w:r>
        <w:rPr>
          <w:rStyle w:val="OtherTok"/>
        </w:rPr>
        <w:t xml:space="preserve">&lt;-</w:t>
      </w:r>
      <w:r>
        <w:rPr>
          <w:rStyle w:val="NormalTok"/>
        </w:rPr>
        <w:t xml:space="preserve"> </w:t>
      </w:r>
      <w:r>
        <w:rPr>
          <w:rStyle w:val="FunctionTok"/>
        </w:rPr>
        <w:t xml:space="preserve">hanc_ml</w:t>
      </w:r>
      <w:r>
        <w:rPr>
          <w:rStyle w:val="NormalTok"/>
        </w:rPr>
        <w:t xml:space="preserve">(</w:t>
      </w:r>
      <w:r>
        <w:rPr>
          <w:rStyle w:val="FunctionTok"/>
        </w:rPr>
        <w:t xml:space="preserve">cla_knn</w:t>
      </w:r>
      <w:r>
        <w:rPr>
          <w:rStyle w:val="NormalTok"/>
        </w:rPr>
        <w:t xml:space="preserve">(</w:t>
      </w:r>
      <w:r>
        <w:rPr>
          <w:rStyle w:val="StringTok"/>
        </w:rPr>
        <w:t xml:space="preserve">"event"</w:t>
      </w:r>
      <w:r>
        <w:rPr>
          <w:rStyle w:val="NormalTok"/>
        </w:rPr>
        <w:t xml:space="preserve">, </w:t>
      </w:r>
      <w:r>
        <w:rPr>
          <w:rStyle w:val="FunctionTok"/>
        </w:rPr>
        <w:t xml:space="preserve">c</w:t>
      </w:r>
      <w:r>
        <w:rPr>
          <w:rStyle w:val="NormalTok"/>
        </w:rPr>
        <w:t xml:space="preserve">(</w:t>
      </w:r>
      <w:r>
        <w:rPr>
          <w:rStyle w:val="StringTok"/>
        </w:rPr>
        <w:t xml:space="preserve">"FALSE"</w:t>
      </w:r>
      <w:r>
        <w:rPr>
          <w:rStyle w:val="NormalTok"/>
        </w:rPr>
        <w:t xml:space="preserve">, </w:t>
      </w:r>
      <w:r>
        <w:rPr>
          <w:rStyle w:val="StringTok"/>
        </w:rPr>
        <w:t xml:space="preserve">"TRUE"</w:t>
      </w:r>
      <w:r>
        <w:rPr>
          <w:rStyle w:val="NormalTok"/>
        </w:rPr>
        <w:t xml:space="preserve">), </w:t>
      </w:r>
      <w:r>
        <w:rPr>
          <w:rStyle w:val="AttributeTok"/>
        </w:rPr>
        <w:t xml:space="preserve">k=</w:t>
      </w:r>
      <w:r>
        <w:rPr>
          <w:rStyle w:val="DecValTok"/>
        </w:rPr>
        <w:t xml:space="preserve">3</w:t>
      </w:r>
      <w:r>
        <w:rPr>
          <w:rStyle w:val="NormalTok"/>
        </w:rPr>
        <w:t xml:space="preserve">))</w:t>
      </w:r>
    </w:p>
    <w:p>
      <w:pPr>
        <w:pStyle w:val="SourceCode"/>
      </w:pPr>
      <w:r>
        <w:rPr>
          <w:rStyle w:val="CommentTok"/>
        </w:rPr>
        <w:t xml:space="preserve"># Fit the model on training data</w:t>
      </w:r>
      <w:r>
        <w:br/>
      </w:r>
      <w:r>
        <w:rPr>
          <w:rStyle w:val="NormalTok"/>
        </w:rPr>
        <w:t xml:space="preserve">model </w:t>
      </w:r>
      <w:r>
        <w:rPr>
          <w:rStyle w:val="OtherTok"/>
        </w:rPr>
        <w:t xml:space="preserve">&lt;-</w:t>
      </w:r>
      <w:r>
        <w:rPr>
          <w:rStyle w:val="NormalTok"/>
        </w:rPr>
        <w:t xml:space="preserve"> </w:t>
      </w:r>
      <w:r>
        <w:rPr>
          <w:rStyle w:val="FunctionTok"/>
        </w:rPr>
        <w:t xml:space="preserve">fit</w:t>
      </w:r>
      <w:r>
        <w:rPr>
          <w:rStyle w:val="NormalTok"/>
        </w:rPr>
        <w:t xml:space="preserve">(model, train_n)</w:t>
      </w:r>
      <w:r>
        <w:br/>
      </w:r>
      <w:r>
        <w:rPr>
          <w:rStyle w:val="NormalTok"/>
        </w:rPr>
        <w:t xml:space="preserve">detection </w:t>
      </w:r>
      <w:r>
        <w:rPr>
          <w:rStyle w:val="OtherTok"/>
        </w:rPr>
        <w:t xml:space="preserve">&lt;-</w:t>
      </w:r>
      <w:r>
        <w:rPr>
          <w:rStyle w:val="NormalTok"/>
        </w:rPr>
        <w:t xml:space="preserve"> </w:t>
      </w:r>
      <w:r>
        <w:rPr>
          <w:rStyle w:val="FunctionTok"/>
        </w:rPr>
        <w:t xml:space="preserve">detect</w:t>
      </w:r>
      <w:r>
        <w:rPr>
          <w:rStyle w:val="NormalTok"/>
        </w:rPr>
        <w:t xml:space="preserve">(model, train_n)</w:t>
      </w:r>
      <w:r>
        <w:br/>
      </w:r>
      <w:r>
        <w:rPr>
          <w:rStyle w:val="FunctionTok"/>
        </w:rPr>
        <w:t xml:space="preserve">print</w:t>
      </w:r>
      <w:r>
        <w:rPr>
          <w:rStyle w:val="NormalTok"/>
        </w:rPr>
        <w:t xml:space="preserve">(detection </w:t>
      </w:r>
      <w:r>
        <w:rPr>
          <w:rStyle w:val="SpecialCharTok"/>
        </w:rPr>
        <w:t xml:space="preserve">|&gt;</w:t>
      </w:r>
      <w:r>
        <w:rPr>
          <w:rStyle w:val="NormalTok"/>
        </w:rPr>
        <w:t xml:space="preserve"> dplyr</w:t>
      </w:r>
      <w:r>
        <w:rPr>
          <w:rStyle w:val="SpecialCharTok"/>
        </w:rPr>
        <w:t xml:space="preserve">::</w:t>
      </w:r>
      <w:r>
        <w:rPr>
          <w:rStyle w:val="FunctionTok"/>
        </w:rPr>
        <w:t xml:space="preserve">filter</w:t>
      </w:r>
      <w:r>
        <w:rPr>
          <w:rStyle w:val="NormalTok"/>
        </w:rPr>
        <w:t xml:space="preserve">(event</w:t>
      </w:r>
      <w:r>
        <w:rPr>
          <w:rStyle w:val="SpecialCharTok"/>
        </w:rPr>
        <w:t xml:space="preserve">==</w:t>
      </w:r>
      <w:r>
        <w:rPr>
          <w:rStyle w:val="ConstantTok"/>
        </w:rPr>
        <w:t xml:space="preserve">TRUE</w:t>
      </w:r>
      <w:r>
        <w:rPr>
          <w:rStyle w:val="NormalTok"/>
        </w:rPr>
        <w:t xml:space="preserve">))</w:t>
      </w:r>
    </w:p>
    <w:p>
      <w:pPr>
        <w:pStyle w:val="SourceCode"/>
      </w:pPr>
      <w:r>
        <w:rPr>
          <w:rStyle w:val="VerbatimChar"/>
        </w:rPr>
        <w:t xml:space="preserve">##   idx event    type</w:t>
      </w:r>
      <w:r>
        <w:br/>
      </w:r>
      <w:r>
        <w:rPr>
          <w:rStyle w:val="VerbatimChar"/>
        </w:rPr>
        <w:t xml:space="preserve">## 1  12  TRUE anomaly</w:t>
      </w:r>
      <w:r>
        <w:br/>
      </w:r>
      <w:r>
        <w:rPr>
          <w:rStyle w:val="VerbatimChar"/>
        </w:rPr>
        <w:t xml:space="preserve">## 2  24  TRUE anomaly</w:t>
      </w:r>
      <w:r>
        <w:br/>
      </w:r>
      <w:r>
        <w:rPr>
          <w:rStyle w:val="VerbatimChar"/>
        </w:rPr>
        <w:t xml:space="preserve">## 3  38  TRUE anomaly</w:t>
      </w:r>
      <w:r>
        <w:br/>
      </w:r>
      <w:r>
        <w:rPr>
          <w:rStyle w:val="VerbatimChar"/>
        </w:rPr>
        <w:t xml:space="preserve">## 4  50  TRUE anomaly</w:t>
      </w:r>
    </w:p>
    <w:p>
      <w:pPr>
        <w:pStyle w:val="SourceCode"/>
      </w:pPr>
      <w:r>
        <w:rPr>
          <w:rStyle w:val="CommentTok"/>
        </w:rPr>
        <w:t xml:space="preserve"># Evaluate training performance</w:t>
      </w:r>
      <w:r>
        <w:br/>
      </w:r>
      <w:r>
        <w:rPr>
          <w:rStyle w:val="NormalTok"/>
        </w:rPr>
        <w:t xml:space="preserve">evaluation </w:t>
      </w:r>
      <w:r>
        <w:rPr>
          <w:rStyle w:val="OtherTok"/>
        </w:rPr>
        <w:t xml:space="preserve">&lt;-</w:t>
      </w:r>
      <w:r>
        <w:rPr>
          <w:rStyle w:val="NormalTok"/>
        </w:rPr>
        <w:t xml:space="preserve"> </w:t>
      </w:r>
      <w:r>
        <w:rPr>
          <w:rStyle w:val="FunctionTok"/>
        </w:rPr>
        <w:t xml:space="preserve">evaluate</w:t>
      </w:r>
      <w:r>
        <w:rPr>
          <w:rStyle w:val="NormalTok"/>
        </w:rPr>
        <w:t xml:space="preserve">(model, detection</w:t>
      </w:r>
      <w:r>
        <w:rPr>
          <w:rStyle w:val="SpecialCharTok"/>
        </w:rPr>
        <w:t xml:space="preserve">$</w:t>
      </w:r>
      <w:r>
        <w:rPr>
          <w:rStyle w:val="NormalTok"/>
        </w:rPr>
        <w:t xml:space="preserve">event, </w:t>
      </w:r>
      <w:r>
        <w:rPr>
          <w:rStyle w:val="FunctionTok"/>
        </w:rPr>
        <w:t xml:space="preserve">as.logical</w:t>
      </w:r>
      <w:r>
        <w:rPr>
          <w:rStyle w:val="NormalTok"/>
        </w:rPr>
        <w:t xml:space="preserve">(train_n</w:t>
      </w:r>
      <w:r>
        <w:rPr>
          <w:rStyle w:val="SpecialCharTok"/>
        </w:rPr>
        <w:t xml:space="preserve">$</w:t>
      </w:r>
      <w:r>
        <w:rPr>
          <w:rStyle w:val="NormalTok"/>
        </w:rPr>
        <w:t xml:space="preserve">event))</w:t>
      </w:r>
      <w:r>
        <w:br/>
      </w:r>
      <w:r>
        <w:rPr>
          <w:rStyle w:val="FunctionTok"/>
        </w:rPr>
        <w:t xml:space="preserve">print</w:t>
      </w:r>
      <w:r>
        <w:rPr>
          <w:rStyle w:val="NormalTok"/>
        </w:rPr>
        <w:t xml:space="preserve">(evaluation</w:t>
      </w:r>
      <w:r>
        <w:rPr>
          <w:rStyle w:val="SpecialCharTok"/>
        </w:rPr>
        <w:t xml:space="preserve">$</w:t>
      </w:r>
      <w:r>
        <w:rPr>
          <w:rStyle w:val="NormalTok"/>
        </w:rPr>
        <w:t xml:space="preserve">confMatrix)</w:t>
      </w:r>
    </w:p>
    <w:p>
      <w:pPr>
        <w:pStyle w:val="SourceCode"/>
      </w:pPr>
      <w:r>
        <w:rPr>
          <w:rStyle w:val="VerbatimChar"/>
        </w:rPr>
        <w:t xml:space="preserve">##           event      </w:t>
      </w:r>
      <w:r>
        <w:br/>
      </w:r>
      <w:r>
        <w:rPr>
          <w:rStyle w:val="VerbatimChar"/>
        </w:rPr>
        <w:t xml:space="preserve">## detection TRUE  FALSE</w:t>
      </w:r>
      <w:r>
        <w:br/>
      </w:r>
      <w:r>
        <w:rPr>
          <w:rStyle w:val="VerbatimChar"/>
        </w:rPr>
        <w:t xml:space="preserve">## TRUE      4     0    </w:t>
      </w:r>
      <w:r>
        <w:br/>
      </w:r>
      <w:r>
        <w:rPr>
          <w:rStyle w:val="VerbatimChar"/>
        </w:rPr>
        <w:t xml:space="preserve">## FALSE     0     76</w:t>
      </w:r>
    </w:p>
    <w:bookmarkEnd w:id="29"/>
    <w:bookmarkStart w:id="33" w:name="interpret-the-result-visually-1"/>
    <w:p>
      <w:pPr>
        <w:pStyle w:val="Heading3"/>
      </w:pPr>
      <w:r>
        <w:t xml:space="preserve">Interpret the Result Visually</w:t>
      </w:r>
    </w:p>
    <w:p>
      <w:pPr>
        <w:pStyle w:val="FirstParagraph"/>
      </w:pPr>
      <w:r>
        <w:t xml:space="preserve">The final plots are not just illustrations. They help the reader connect the method’s internal output with the original series, making it easier to see why a point, range, motif, or symbolic pattern was emphasized and whether that emphasis is coherent with the stated objective of the example.</w:t>
      </w:r>
    </w:p>
    <w:p>
      <w:pPr>
        <w:pStyle w:val="SourceCode"/>
      </w:pPr>
      <w:r>
        <w:rPr>
          <w:rStyle w:val="CommentTok"/>
        </w:rPr>
        <w:t xml:space="preserve"># Plot training detections</w:t>
      </w:r>
      <w:r>
        <w:br/>
      </w:r>
      <w:r>
        <w:rPr>
          <w:rStyle w:val="NormalTok"/>
        </w:rPr>
        <w:t xml:space="preserve">  </w:t>
      </w:r>
      <w:r>
        <w:rPr>
          <w:rStyle w:val="FunctionTok"/>
        </w:rPr>
        <w:t xml:space="preserve">har_plot</w:t>
      </w:r>
      <w:r>
        <w:rPr>
          <w:rStyle w:val="NormalTok"/>
        </w:rPr>
        <w:t xml:space="preserve">(model, train_n</w:t>
      </w:r>
      <w:r>
        <w:rPr>
          <w:rStyle w:val="SpecialCharTok"/>
        </w:rPr>
        <w:t xml:space="preserve">$</w:t>
      </w:r>
      <w:r>
        <w:rPr>
          <w:rStyle w:val="NormalTok"/>
        </w:rPr>
        <w:t xml:space="preserve">serie, detection, </w:t>
      </w:r>
      <w:r>
        <w:rPr>
          <w:rStyle w:val="FunctionTok"/>
        </w:rPr>
        <w:t xml:space="preserve">as.logical</w:t>
      </w:r>
      <w:r>
        <w:rPr>
          <w:rStyle w:val="NormalTok"/>
        </w:rPr>
        <w:t xml:space="preserve">(train_n</w:t>
      </w:r>
      <w:r>
        <w:rPr>
          <w:rStyle w:val="SpecialCharTok"/>
        </w:rPr>
        <w:t xml:space="preserve">$</w:t>
      </w:r>
      <w:r>
        <w:rPr>
          <w:rStyle w:val="NormalTok"/>
        </w:rPr>
        <w:t xml:space="preserve">event))</w:t>
      </w:r>
    </w:p>
    <w:p>
      <w:pPr>
        <w:pStyle w:val="FirstParagraph"/>
      </w:pPr>
      <w:r>
        <w:drawing>
          <wp:inline>
            <wp:extent cx="4620126" cy="3696101"/>
            <wp:effectExtent b="0" l="0" r="0" t="0"/>
            <wp:docPr descr="" title="" id="31" name="Picture"/>
            <a:graphic>
              <a:graphicData uri="http://schemas.openxmlformats.org/drawingml/2006/picture">
                <pic:pic>
                  <pic:nvPicPr>
                    <pic:cNvPr descr="/home/gpca/harbinger/examples/anomalies/doc/23-classification-hanc_ml_knn_files/figure-docx/unnamed-chunk-9-1.png" id="32" name="Picture"/>
                    <pic:cNvPicPr>
                      <a:picLocks noChangeArrowheads="1" noChangeAspect="1"/>
                    </pic:cNvPicPr>
                  </pic:nvPicPr>
                  <pic:blipFill>
                    <a:blip r:embed="rId30"/>
                    <a:stretch>
                      <a:fillRect/>
                    </a:stretch>
                  </pic:blipFill>
                  <pic:spPr bwMode="auto">
                    <a:xfrm>
                      <a:off x="0" y="0"/>
                      <a:ext cx="4620126" cy="3696101"/>
                    </a:xfrm>
                    <a:prstGeom prst="rect">
                      <a:avLst/>
                    </a:prstGeom>
                    <a:noFill/>
                    <a:ln w="9525">
                      <a:noFill/>
                      <a:headEnd/>
                      <a:tailEnd/>
                    </a:ln>
                  </pic:spPr>
                </pic:pic>
              </a:graphicData>
            </a:graphic>
          </wp:inline>
        </w:drawing>
      </w:r>
    </w:p>
    <w:bookmarkEnd w:id="33"/>
    <w:bookmarkStart w:id="34" w:name="run-the-core-analysis"/>
    <w:p>
      <w:pPr>
        <w:pStyle w:val="Heading3"/>
      </w:pPr>
      <w:r>
        <w:t xml:space="preserve">Run the Core Analysis</w:t>
      </w:r>
    </w:p>
    <w:p>
      <w:pPr>
        <w:pStyle w:val="FirstParagraph"/>
      </w:pPr>
      <w:r>
        <w:t xml:space="preserve">With the environment and the method ready, we execute the central analytical step and inspect its immediate output. This is the point where the abstract idea described earlier becomes operational, so the reader should pay attention to what is produced and how Harbinger standardizes the result.</w:t>
      </w:r>
    </w:p>
    <w:p>
      <w:pPr>
        <w:pStyle w:val="SourceCode"/>
      </w:pPr>
      <w:r>
        <w:rPr>
          <w:rStyle w:val="CommentTok"/>
        </w:rPr>
        <w:t xml:space="preserve"># Prepare test data (apply same scaler)</w:t>
      </w:r>
      <w:r>
        <w:br/>
      </w:r>
      <w:r>
        <w:rPr>
          <w:rStyle w:val="NormalTok"/>
        </w:rPr>
        <w:t xml:space="preserve">  test_n </w:t>
      </w:r>
      <w:r>
        <w:rPr>
          <w:rStyle w:val="OtherTok"/>
        </w:rPr>
        <w:t xml:space="preserve">&lt;-</w:t>
      </w:r>
      <w:r>
        <w:rPr>
          <w:rStyle w:val="NormalTok"/>
        </w:rPr>
        <w:t xml:space="preserve"> </w:t>
      </w:r>
      <w:r>
        <w:rPr>
          <w:rStyle w:val="FunctionTok"/>
        </w:rPr>
        <w:t xml:space="preserve">transform</w:t>
      </w:r>
      <w:r>
        <w:rPr>
          <w:rStyle w:val="NormalTok"/>
        </w:rPr>
        <w:t xml:space="preserve">(norm, test)</w:t>
      </w:r>
    </w:p>
    <w:p>
      <w:pPr>
        <w:pStyle w:val="SourceCode"/>
      </w:pPr>
      <w:r>
        <w:rPr>
          <w:rStyle w:val="CommentTok"/>
        </w:rPr>
        <w:t xml:space="preserve"># Detect and evaluate on test data</w:t>
      </w:r>
      <w:r>
        <w:br/>
      </w:r>
      <w:r>
        <w:rPr>
          <w:rStyle w:val="NormalTok"/>
        </w:rPr>
        <w:t xml:space="preserve">  detection </w:t>
      </w:r>
      <w:r>
        <w:rPr>
          <w:rStyle w:val="OtherTok"/>
        </w:rPr>
        <w:t xml:space="preserve">&lt;-</w:t>
      </w:r>
      <w:r>
        <w:rPr>
          <w:rStyle w:val="NormalTok"/>
        </w:rPr>
        <w:t xml:space="preserve"> </w:t>
      </w:r>
      <w:r>
        <w:rPr>
          <w:rStyle w:val="FunctionTok"/>
        </w:rPr>
        <w:t xml:space="preserve">detect</w:t>
      </w:r>
      <w:r>
        <w:rPr>
          <w:rStyle w:val="NormalTok"/>
        </w:rPr>
        <w:t xml:space="preserve">(model, test_n)</w:t>
      </w:r>
      <w:r>
        <w:br/>
      </w:r>
      <w:r>
        <w:br/>
      </w:r>
      <w:r>
        <w:rPr>
          <w:rStyle w:val="NormalTok"/>
        </w:rPr>
        <w:t xml:space="preserve">  </w:t>
      </w:r>
      <w:r>
        <w:rPr>
          <w:rStyle w:val="FunctionTok"/>
        </w:rPr>
        <w:t xml:space="preserve">print</w:t>
      </w:r>
      <w:r>
        <w:rPr>
          <w:rStyle w:val="NormalTok"/>
        </w:rPr>
        <w:t xml:space="preserve">(detection </w:t>
      </w:r>
      <w:r>
        <w:rPr>
          <w:rStyle w:val="SpecialCharTok"/>
        </w:rPr>
        <w:t xml:space="preserve">|&gt;</w:t>
      </w:r>
      <w:r>
        <w:rPr>
          <w:rStyle w:val="NormalTok"/>
        </w:rPr>
        <w:t xml:space="preserve"> dplyr</w:t>
      </w:r>
      <w:r>
        <w:rPr>
          <w:rStyle w:val="SpecialCharTok"/>
        </w:rPr>
        <w:t xml:space="preserve">::</w:t>
      </w:r>
      <w:r>
        <w:rPr>
          <w:rStyle w:val="FunctionTok"/>
        </w:rPr>
        <w:t xml:space="preserve">filter</w:t>
      </w:r>
      <w:r>
        <w:rPr>
          <w:rStyle w:val="NormalTok"/>
        </w:rPr>
        <w:t xml:space="preserve">(event</w:t>
      </w:r>
      <w:r>
        <w:rPr>
          <w:rStyle w:val="SpecialCharTok"/>
        </w:rPr>
        <w:t xml:space="preserve">==</w:t>
      </w:r>
      <w:r>
        <w:rPr>
          <w:rStyle w:val="ConstantTok"/>
        </w:rPr>
        <w:t xml:space="preserve">TRUE</w:t>
      </w:r>
      <w:r>
        <w:rPr>
          <w:rStyle w:val="NormalTok"/>
        </w:rPr>
        <w:t xml:space="preserve">))</w:t>
      </w:r>
    </w:p>
    <w:p>
      <w:pPr>
        <w:pStyle w:val="SourceCode"/>
      </w:pPr>
      <w:r>
        <w:rPr>
          <w:rStyle w:val="VerbatimChar"/>
        </w:rPr>
        <w:t xml:space="preserve">##   idx event    type</w:t>
      </w:r>
      <w:r>
        <w:br/>
      </w:r>
      <w:r>
        <w:rPr>
          <w:rStyle w:val="VerbatimChar"/>
        </w:rPr>
        <w:t xml:space="preserve">## 1  10  TRUE anomaly</w:t>
      </w:r>
      <w:r>
        <w:br/>
      </w:r>
      <w:r>
        <w:rPr>
          <w:rStyle w:val="VerbatimChar"/>
        </w:rPr>
        <w:t xml:space="preserve">## 2  21  TRUE anomaly</w:t>
      </w:r>
    </w:p>
    <w:p>
      <w:pPr>
        <w:pStyle w:val="SourceCode"/>
      </w:pPr>
      <w:r>
        <w:rPr>
          <w:rStyle w:val="NormalTok"/>
        </w:rPr>
        <w:t xml:space="preserve">  evaluation </w:t>
      </w:r>
      <w:r>
        <w:rPr>
          <w:rStyle w:val="OtherTok"/>
        </w:rPr>
        <w:t xml:space="preserve">&lt;-</w:t>
      </w:r>
      <w:r>
        <w:rPr>
          <w:rStyle w:val="NormalTok"/>
        </w:rPr>
        <w:t xml:space="preserve"> </w:t>
      </w:r>
      <w:r>
        <w:rPr>
          <w:rStyle w:val="FunctionTok"/>
        </w:rPr>
        <w:t xml:space="preserve">evaluate</w:t>
      </w:r>
      <w:r>
        <w:rPr>
          <w:rStyle w:val="NormalTok"/>
        </w:rPr>
        <w:t xml:space="preserve">(model, detection</w:t>
      </w:r>
      <w:r>
        <w:rPr>
          <w:rStyle w:val="SpecialCharTok"/>
        </w:rPr>
        <w:t xml:space="preserve">$</w:t>
      </w:r>
      <w:r>
        <w:rPr>
          <w:rStyle w:val="NormalTok"/>
        </w:rPr>
        <w:t xml:space="preserve">event, </w:t>
      </w:r>
      <w:r>
        <w:rPr>
          <w:rStyle w:val="FunctionTok"/>
        </w:rPr>
        <w:t xml:space="preserve">as.logical</w:t>
      </w:r>
      <w:r>
        <w:rPr>
          <w:rStyle w:val="NormalTok"/>
        </w:rPr>
        <w:t xml:space="preserve">(test_n</w:t>
      </w:r>
      <w:r>
        <w:rPr>
          <w:rStyle w:val="SpecialCharTok"/>
        </w:rPr>
        <w:t xml:space="preserve">$</w:t>
      </w:r>
      <w:r>
        <w:rPr>
          <w:rStyle w:val="NormalTok"/>
        </w:rPr>
        <w:t xml:space="preserve">event))</w:t>
      </w:r>
      <w:r>
        <w:br/>
      </w:r>
      <w:r>
        <w:rPr>
          <w:rStyle w:val="NormalTok"/>
        </w:rPr>
        <w:t xml:space="preserve">  </w:t>
      </w:r>
      <w:r>
        <w:rPr>
          <w:rStyle w:val="FunctionTok"/>
        </w:rPr>
        <w:t xml:space="preserve">print</w:t>
      </w:r>
      <w:r>
        <w:rPr>
          <w:rStyle w:val="NormalTok"/>
        </w:rPr>
        <w:t xml:space="preserve">(evaluation</w:t>
      </w:r>
      <w:r>
        <w:rPr>
          <w:rStyle w:val="SpecialCharTok"/>
        </w:rPr>
        <w:t xml:space="preserve">$</w:t>
      </w:r>
      <w:r>
        <w:rPr>
          <w:rStyle w:val="NormalTok"/>
        </w:rPr>
        <w:t xml:space="preserve">confMatrix)</w:t>
      </w:r>
    </w:p>
    <w:p>
      <w:pPr>
        <w:pStyle w:val="SourceCode"/>
      </w:pPr>
      <w:r>
        <w:rPr>
          <w:rStyle w:val="VerbatimChar"/>
        </w:rPr>
        <w:t xml:space="preserve">##           event      </w:t>
      </w:r>
      <w:r>
        <w:br/>
      </w:r>
      <w:r>
        <w:rPr>
          <w:rStyle w:val="VerbatimChar"/>
        </w:rPr>
        <w:t xml:space="preserve">## detection TRUE  FALSE</w:t>
      </w:r>
      <w:r>
        <w:br/>
      </w:r>
      <w:r>
        <w:rPr>
          <w:rStyle w:val="VerbatimChar"/>
        </w:rPr>
        <w:t xml:space="preserve">## TRUE      2     0    </w:t>
      </w:r>
      <w:r>
        <w:br/>
      </w:r>
      <w:r>
        <w:rPr>
          <w:rStyle w:val="VerbatimChar"/>
        </w:rPr>
        <w:t xml:space="preserve">## FALSE     0     19</w:t>
      </w:r>
    </w:p>
    <w:bookmarkEnd w:id="34"/>
    <w:bookmarkStart w:id="41" w:name="interpret-the-result-visually-2"/>
    <w:p>
      <w:pPr>
        <w:pStyle w:val="Heading3"/>
      </w:pPr>
      <w:r>
        <w:t xml:space="preserve">Interpret the Result Visually</w:t>
      </w:r>
    </w:p>
    <w:p>
      <w:pPr>
        <w:pStyle w:val="FirstParagraph"/>
      </w:pPr>
      <w:r>
        <w:t xml:space="preserve">The final plots are not just illustrations. They help the reader connect the method’s internal output with the original series, making it easier to see why a point, range, motif, or symbolic pattern was emphasized and whether that emphasis is coherent with the stated objective of the example.</w:t>
      </w:r>
    </w:p>
    <w:p>
      <w:pPr>
        <w:pStyle w:val="SourceCode"/>
      </w:pPr>
      <w:r>
        <w:rPr>
          <w:rStyle w:val="CommentTok"/>
        </w:rPr>
        <w:t xml:space="preserve"># Plot test detections</w:t>
      </w:r>
      <w:r>
        <w:br/>
      </w:r>
      <w:r>
        <w:rPr>
          <w:rStyle w:val="NormalTok"/>
        </w:rPr>
        <w:t xml:space="preserve">  </w:t>
      </w:r>
      <w:r>
        <w:rPr>
          <w:rStyle w:val="FunctionTok"/>
        </w:rPr>
        <w:t xml:space="preserve">har_plot</w:t>
      </w:r>
      <w:r>
        <w:rPr>
          <w:rStyle w:val="NormalTok"/>
        </w:rPr>
        <w:t xml:space="preserve">(model, test_n</w:t>
      </w:r>
      <w:r>
        <w:rPr>
          <w:rStyle w:val="SpecialCharTok"/>
        </w:rPr>
        <w:t xml:space="preserve">$</w:t>
      </w:r>
      <w:r>
        <w:rPr>
          <w:rStyle w:val="NormalTok"/>
        </w:rPr>
        <w:t xml:space="preserve">serie, detection, </w:t>
      </w:r>
      <w:r>
        <w:rPr>
          <w:rStyle w:val="FunctionTok"/>
        </w:rPr>
        <w:t xml:space="preserve">as.logical</w:t>
      </w:r>
      <w:r>
        <w:rPr>
          <w:rStyle w:val="NormalTok"/>
        </w:rPr>
        <w:t xml:space="preserve">(test_n</w:t>
      </w:r>
      <w:r>
        <w:rPr>
          <w:rStyle w:val="SpecialCharTok"/>
        </w:rPr>
        <w:t xml:space="preserve">$</w:t>
      </w:r>
      <w:r>
        <w:rPr>
          <w:rStyle w:val="NormalTok"/>
        </w:rPr>
        <w:t xml:space="preserve">event))</w:t>
      </w:r>
    </w:p>
    <w:p>
      <w:pPr>
        <w:pStyle w:val="FirstParagraph"/>
      </w:pPr>
      <w:r>
        <w:drawing>
          <wp:inline>
            <wp:extent cx="4620126" cy="3696101"/>
            <wp:effectExtent b="0" l="0" r="0" t="0"/>
            <wp:docPr descr="" title="" id="36" name="Picture"/>
            <a:graphic>
              <a:graphicData uri="http://schemas.openxmlformats.org/drawingml/2006/picture">
                <pic:pic>
                  <pic:nvPicPr>
                    <pic:cNvPr descr="/home/gpca/harbinger/examples/anomalies/doc/23-classification-hanc_ml_knn_files/figure-docx/unnamed-chunk-12-1.png" id="37" name="Picture"/>
                    <pic:cNvPicPr>
                      <a:picLocks noChangeArrowheads="1" noChangeAspect="1"/>
                    </pic:cNvPicPr>
                  </pic:nvPicPr>
                  <pic:blipFill>
                    <a:blip r:embed="rId35"/>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CommentTok"/>
        </w:rPr>
        <w:t xml:space="preserve"># Plot residual scores and threshold</w:t>
      </w:r>
      <w:r>
        <w:br/>
      </w:r>
      <w:r>
        <w:rPr>
          <w:rStyle w:val="FunctionTok"/>
        </w:rPr>
        <w:t xml:space="preserve">har_plot</w:t>
      </w:r>
      <w:r>
        <w:rPr>
          <w:rStyle w:val="NormalTok"/>
        </w:rPr>
        <w:t xml:space="preserve">(model, </w:t>
      </w:r>
      <w:r>
        <w:rPr>
          <w:rStyle w:val="FunctionTok"/>
        </w:rPr>
        <w:t xml:space="preserve">attr</w:t>
      </w:r>
      <w:r>
        <w:rPr>
          <w:rStyle w:val="NormalTok"/>
        </w:rPr>
        <w:t xml:space="preserve">(detection, </w:t>
      </w:r>
      <w:r>
        <w:rPr>
          <w:rStyle w:val="StringTok"/>
        </w:rPr>
        <w:t xml:space="preserve">"res"</w:t>
      </w:r>
      <w:r>
        <w:rPr>
          <w:rStyle w:val="NormalTok"/>
        </w:rPr>
        <w:t xml:space="preserve">), detection, test_n</w:t>
      </w:r>
      <w:r>
        <w:rPr>
          <w:rStyle w:val="SpecialCharTok"/>
        </w:rPr>
        <w:t xml:space="preserve">$</w:t>
      </w:r>
      <w:r>
        <w:rPr>
          <w:rStyle w:val="NormalTok"/>
        </w:rPr>
        <w:t xml:space="preserve">event, </w:t>
      </w:r>
      <w:r>
        <w:rPr>
          <w:rStyle w:val="AttributeTok"/>
        </w:rPr>
        <w:t xml:space="preserve">yline =</w:t>
      </w:r>
      <w:r>
        <w:rPr>
          <w:rStyle w:val="NormalTok"/>
        </w:rPr>
        <w:t xml:space="preserve"> </w:t>
      </w:r>
      <w:r>
        <w:rPr>
          <w:rStyle w:val="FunctionTok"/>
        </w:rPr>
        <w:t xml:space="preserve">attr</w:t>
      </w:r>
      <w:r>
        <w:rPr>
          <w:rStyle w:val="NormalTok"/>
        </w:rPr>
        <w:t xml:space="preserve">(detection, </w:t>
      </w:r>
      <w:r>
        <w:rPr>
          <w:rStyle w:val="StringTok"/>
        </w:rPr>
        <w:t xml:space="preserve">"threshold"</w:t>
      </w:r>
      <w:r>
        <w:rPr>
          <w:rStyle w:val="NormalTok"/>
        </w:rPr>
        <w:t xml:space="preserve">))</w:t>
      </w:r>
    </w:p>
    <w:p>
      <w:pPr>
        <w:pStyle w:val="FirstParagraph"/>
      </w:pPr>
      <w:r>
        <w:drawing>
          <wp:inline>
            <wp:extent cx="4620126" cy="3696101"/>
            <wp:effectExtent b="0" l="0" r="0" t="0"/>
            <wp:docPr descr="" title="" id="39" name="Picture"/>
            <a:graphic>
              <a:graphicData uri="http://schemas.openxmlformats.org/drawingml/2006/picture">
                <pic:pic>
                  <pic:nvPicPr>
                    <pic:cNvPr descr="/home/gpca/harbinger/examples/anomalies/doc/23-classification-hanc_ml_knn_files/figure-docx/unnamed-chunk-13-1.png" id="40" name="Picture"/>
                    <pic:cNvPicPr>
                      <a:picLocks noChangeArrowheads="1" noChangeAspect="1"/>
                    </pic:cNvPicPr>
                  </pic:nvPicPr>
                  <pic:blipFill>
                    <a:blip r:embed="rId38"/>
                    <a:stretch>
                      <a:fillRect/>
                    </a:stretch>
                  </pic:blipFill>
                  <pic:spPr bwMode="auto">
                    <a:xfrm>
                      <a:off x="0" y="0"/>
                      <a:ext cx="4620126" cy="3696101"/>
                    </a:xfrm>
                    <a:prstGeom prst="rect">
                      <a:avLst/>
                    </a:prstGeom>
                    <a:noFill/>
                    <a:ln w="9525">
                      <a:noFill/>
                      <a:headEnd/>
                      <a:tailEnd/>
                    </a:ln>
                  </pic:spPr>
                </pic:pic>
              </a:graphicData>
            </a:graphic>
          </wp:inline>
        </w:drawing>
      </w:r>
    </w:p>
    <w:bookmarkEnd w:id="41"/>
    <w:bookmarkEnd w:id="42"/>
    <w:bookmarkStart w:id="44" w:name="references"/>
    <w:p>
      <w:pPr>
        <w:pStyle w:val="Heading2"/>
      </w:pPr>
      <w:r>
        <w:t xml:space="preserve">References</w:t>
      </w:r>
    </w:p>
    <w:p>
      <w:pPr>
        <w:pStyle w:val="Compact"/>
        <w:numPr>
          <w:ilvl w:val="0"/>
          <w:numId w:val="1002"/>
        </w:numPr>
      </w:pPr>
      <w:r>
        <w:t xml:space="preserve">Bishop, C. M. (2006). Pattern Recognition and Machine Learning. Springer.</w:t>
      </w:r>
    </w:p>
    <w:p>
      <w:pPr>
        <w:pStyle w:val="Compact"/>
        <w:numPr>
          <w:ilvl w:val="0"/>
          <w:numId w:val="1002"/>
        </w:numPr>
      </w:pPr>
      <w:r>
        <w:t xml:space="preserve">Hyndman, R. J., Athanasopoulos, G. (2021). Forecasting: Principles and Practice. OTexts.</w:t>
      </w:r>
    </w:p>
    <w:p>
      <w:pPr>
        <w:pStyle w:val="Compact"/>
        <w:numPr>
          <w:ilvl w:val="0"/>
          <w:numId w:val="1002"/>
        </w:numPr>
      </w:pPr>
      <w:r>
        <w:t xml:space="preserve">Ogasawara, E., Salles, R., Porto, F., Pacitti, E. Event Detection in Time Series. Springer, 2025.</w:t>
      </w:r>
      <w:r>
        <w:t xml:space="preserve"> </w:t>
      </w:r>
      <w:hyperlink r:id="rId43">
        <w:r>
          <w:rPr>
            <w:rStyle w:val="Hyperlink"/>
          </w:rPr>
          <w:t xml:space="preserve">doi:10.1007/978-3-031-75941-3</w:t>
        </w:r>
      </w:hyperlink>
    </w:p>
    <w:bookmarkEnd w:id="4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5" Target="media/rId35.png" /><Relationship Type="http://schemas.openxmlformats.org/officeDocument/2006/relationships/image" Id="rId38" Target="media/rId38.png" /><Relationship Type="http://schemas.openxmlformats.org/officeDocument/2006/relationships/image" Id="rId25" Target="media/rId25.png" /><Relationship Type="http://schemas.openxmlformats.org/officeDocument/2006/relationships/image" Id="rId30" Target="media/rId30.png" /><Relationship Type="http://schemas.openxmlformats.org/officeDocument/2006/relationships/hyperlink" Id="rId43" Target="doi:10.1007/978-3-031-75941-3" TargetMode="External" /></Relationships>
</file>

<file path=word/_rels/footnotes.xml.rels><?xml version="1.0" encoding="UTF-8"?><Relationships xmlns="http://schemas.openxmlformats.org/package/2006/relationships"><Relationship Type="http://schemas.openxmlformats.org/officeDocument/2006/relationships/hyperlink" Id="rId43" Target="doi:10.1007/978-3-031-75941-3"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2026-03-13T00:35:13Z</dcterms:created>
  <dcterms:modified xsi:type="dcterms:W3CDTF">2026-03-13T00:35:13Z</dcterms:modified>
</cp:coreProperties>
</file>

<file path=docProps/custom.xml><?xml version="1.0" encoding="utf-8"?>
<Properties xmlns="http://schemas.openxmlformats.org/officeDocument/2006/custom-properties" xmlns:vt="http://schemas.openxmlformats.org/officeDocument/2006/docPropsVTypes"/>
</file>