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LSTM autoencoder (</w:t>
      </w:r>
      <w:r>
        <w:rPr>
          <w:rStyle w:val="VerbatimChar"/>
        </w:rPr>
        <w:t xml:space="preserve">han_autoencoder(..., autoenc_lstm_ed, ...)</w:t>
      </w:r>
      <w:r>
        <w:t xml:space="preserve">). The model encodes and decodes sequences; high reconstruction error flags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LSTM autoencoder (encode-decode): An LSTM autoencoder learns temporal dependencies by encoding and decoding sequences; large reconstruction error flags anomalies. The model optimizes sequence reconstruction and thresholds errors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7-autoencoder-han_autoenc_lstm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LSTM autoencoder-based detector (autoenc_lstm_ed)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autoenc_lstm_ed,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7-autoencoder-han_autoenc_lstm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plotting the residuals</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7-autoencoder-han_autoenc_lstm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2026-03-13T00:36:16Z</dcterms:created>
  <dcterms:modified xsi:type="dcterms:W3CDTF">2026-03-13T00:36:16Z</dcterms:modified>
</cp:coreProperties>
</file>

<file path=docProps/custom.xml><?xml version="1.0" encoding="utf-8"?>
<Properties xmlns="http://schemas.openxmlformats.org/officeDocument/2006/custom-properties" xmlns:vt="http://schemas.openxmlformats.org/officeDocument/2006/docPropsVTypes"/>
</file>