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23"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End w:id="23"/>
    <w:bookmarkStart w:id="32"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4"/>
    <w:bookmarkStart w:id="25" w:name="define-the-support-structures"/>
    <w:p>
      <w:pPr>
        <w:pStyle w:val="Heading3"/>
      </w:pPr>
      <w:r>
        <w:t xml:space="preserve">Define the Support Structures</w:t>
      </w:r>
    </w:p>
    <w:p>
      <w:pPr>
        <w:pStyle w:val="FirstParagraph"/>
      </w:pPr>
      <w:r>
        <w:t xml:space="preserve">Before applying the workflow itself, we define the helper functions or custom objects that make the example possible. This is one of the most important didactic moments in extension-oriented notebooks because it shows the contract that Harbinger expects and where the reader can adapt the behavior later.</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5"/>
    <w:bookmarkStart w:id="26"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6"/>
    <w:bookmarkStart w:id="27"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7"/>
    <w:bookmarkStart w:id="31"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custom/doc/02-anomaly-custom_anomaly_files/figure-docx/unnamed-chunk-5-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1"/>
    <w:bookmarkEnd w:id="32"/>
    <w:bookmarkStart w:id="33"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2026-03-13T00:37:25Z</dcterms:created>
  <dcterms:modified xsi:type="dcterms:W3CDTF">2026-03-13T00:37:25Z</dcterms:modified>
</cp:coreProperties>
</file>

<file path=docProps/custom.xml><?xml version="1.0" encoding="utf-8"?>
<Properties xmlns="http://schemas.openxmlformats.org/officeDocument/2006/custom-properties" xmlns:vt="http://schemas.openxmlformats.org/officeDocument/2006/docPropsVTypes"/>
</file>