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 the Yahoo Webscope S5 benchmark datasets available in Harbinger. For each dataset object, the goal is to load the full collection with</w:t>
      </w:r>
      <w:r>
        <w:t xml:space="preserve"> </w:t>
      </w:r>
      <w:r>
        <w:rPr>
          <w:rStyle w:val="VerbatimChar"/>
        </w:rPr>
        <w:t xml:space="preserve">loadfulldata()</w:t>
      </w:r>
      <w:r>
        <w:t xml:space="preserve">, count the available series, identify the data as univariate or multivariate, and plot the first available signal with</w:t>
      </w:r>
      <w:r>
        <w:t xml:space="preserve"> </w:t>
      </w:r>
      <w:r>
        <w:rPr>
          <w:rStyle w:val="VerbatimChar"/>
        </w:rPr>
        <w:t xml:space="preserve">har_plot()</w:t>
      </w:r>
      <w:r>
        <w:t xml:space="preserve">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This is a dataset-orientation notebook. It does not fit a detector. Instead, it shows how to inspect the dataset structure before choosing a modeling strategy. To keep the figures didactic, each plot is capped at the first 1000 observations of the selected series.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 the packaged mini object and replace it with the full dataset</w:t>
      </w:r>
    </w:p>
    <w:p>
      <w:pPr>
        <w:pStyle w:val="Compact"/>
        <w:numPr>
          <w:ilvl w:val="0"/>
          <w:numId w:val="1001"/>
        </w:numPr>
      </w:pPr>
      <w:r>
        <w:t xml:space="preserve">count how many series are available in each benchmark object</w:t>
      </w:r>
    </w:p>
    <w:p>
      <w:pPr>
        <w:pStyle w:val="Compact"/>
        <w:numPr>
          <w:ilvl w:val="0"/>
          <w:numId w:val="1001"/>
        </w:numPr>
      </w:pPr>
      <w:r>
        <w:t xml:space="preserve">identify whether the collection is univariate or multivariate</w:t>
      </w:r>
    </w:p>
    <w:p>
      <w:pPr>
        <w:pStyle w:val="Compact"/>
        <w:numPr>
          <w:ilvl w:val="0"/>
          <w:numId w:val="1001"/>
        </w:numPr>
      </w:pPr>
      <w:r>
        <w:t xml:space="preserve">plot a short preview of the first available signal and its event labels</w:t>
      </w:r>
    </w:p>
    <w:bookmarkEnd w:id="22"/>
    <w:bookmarkStart w:id="23" w:name="how-to-read-this-walkthrough"/>
    <w:p>
      <w:pPr>
        <w:pStyle w:val="Heading2"/>
      </w:pPr>
      <w:r>
        <w:t xml:space="preserve">How to read this walkthrough</w:t>
      </w:r>
    </w:p>
    <w:p>
      <w:pPr>
        <w:pStyle w:val="FirstParagraph"/>
      </w:pPr>
      <w:r>
        <w:t xml:space="preserve">The code blocks below follow the same learning rhythm used throughout the collection: prepare the environment, choose the dataset, configure the method, run the analysis, and then inspect the result. Readers who are still learning time-series mining can use that order to understand not only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each command does, but also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appears at that stage of the workflow.</w:t>
      </w:r>
    </w:p>
    <w:p>
      <w:pPr>
        <w:pStyle w:val="BodyText"/>
      </w:pPr>
      <w:r>
        <w:t xml:space="preserve">As you go through the notebook, read the inline comments inside each chunk as the operational explanation and use the surrounding prose as the conceptual guide.</w:t>
      </w:r>
    </w:p>
    <w:bookmarkEnd w:id="23"/>
    <w:bookmarkStart w:id="41" w:name="walkthrough"/>
    <w:p>
      <w:pPr>
        <w:pStyle w:val="Heading2"/>
      </w:pPr>
      <w:r>
        <w:t xml:space="preserve">Walkthrough</w:t>
      </w:r>
    </w:p>
    <w:bookmarkStart w:id="24" w:name="define-the-support-structures"/>
    <w:p>
      <w:pPr>
        <w:pStyle w:val="Heading3"/>
      </w:pPr>
      <w:r>
        <w:t xml:space="preserve">Define the Support Structures</w:t>
      </w:r>
    </w:p>
    <w:p>
      <w:pPr>
        <w:pStyle w:val="FirstParagraph"/>
      </w:pPr>
      <w:r>
        <w:t xml:space="preserve">Before applying the workflow itself, we define the helper functions or custom objects that make the example possible. This is one of the most important didactic moments in extension-oriented notebooks because it shows the contract that Harbinger expects and where the reader can adapt the behavior later.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br/>
      </w:r>
      <w:r>
        <w:rPr>
          <w:rStyle w:val="NormalTok"/>
        </w:rPr>
        <w:t xml:space="preserve">dataset_summary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first_series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meta_cols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"seqlen"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signal_cols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(first_series), meta_cols)</w:t>
      </w:r>
      <w:r>
        <w:br/>
      </w:r>
      <w:r>
        <w:rPr>
          <w:rStyle w:val="NormalTok"/>
        </w:rPr>
        <w:t xml:space="preserve">  dataset_type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(signal_cols)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"univariate"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"multivariate"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plot_column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(first_series))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signal_cols[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dataset_type =</w:t>
      </w:r>
      <w:r>
        <w:rPr>
          <w:rStyle w:val="NormalTok"/>
        </w:rPr>
        <w:t xml:space="preserve"> dataset_type,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signal_cols =</w:t>
      </w:r>
      <w:r>
        <w:rPr>
          <w:rStyle w:val="NormalTok"/>
        </w:rPr>
        <w:t xml:space="preserve"> signal_cols,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plot_column =</w:t>
      </w:r>
      <w:r>
        <w:rPr>
          <w:rStyle w:val="NormalTok"/>
        </w:rPr>
        <w:t xml:space="preserve"> plot_column,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preview_size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(first_series)),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first_series =</w:t>
      </w:r>
      <w:r>
        <w:rPr>
          <w:rStyle w:val="NormalTok"/>
        </w:rPr>
        <w:t xml:space="preserve"> first_series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show_dataset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name) {</w:t>
      </w:r>
      <w:r>
        <w:br/>
      </w:r>
      <w:r>
        <w:rPr>
          <w:rStyle w:val="NormalTok"/>
        </w:rPr>
        <w:t xml:space="preserve">  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dataset_summary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"Dataset:"</w:t>
      </w:r>
      <w:r>
        <w:rPr>
          <w:rStyle w:val="NormalTok"/>
        </w:rPr>
        <w:t xml:space="preserve">, 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series:"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n_series,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type:"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dataset_type,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"Signals in the first series:"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signal_cols,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 plotted with har_plot():"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 preview length:"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preview_size, </w:t>
      </w:r>
      <w:r>
        <w:rPr>
          <w:rStyle w:val="StringTok"/>
        </w:rPr>
        <w:t xml:space="preserve">"observations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(info)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plot_dataset_preview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(info) {</w:t>
      </w:r>
      <w:r>
        <w:br/>
      </w:r>
      <w:r>
        <w:rPr>
          <w:rStyle w:val="NormalTok"/>
        </w:rPr>
        <w:t xml:space="preserve">  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first_series[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preview_size),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preview[[info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preview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24"/>
    <w:bookmarkStart w:id="28" w:name="a1benchmark"/>
    <w:p>
      <w:pPr>
        <w:pStyle w:val="Heading3"/>
      </w:pPr>
      <w:r>
        <w:t xml:space="preserve">A1Benchmark</w:t>
      </w:r>
    </w:p>
    <w:p>
      <w:pPr>
        <w:pStyle w:val="FirstParagraph"/>
      </w:pPr>
      <w:r>
        <w:rPr>
          <w:rStyle w:val="VerbatimChar"/>
        </w:rPr>
        <w:t xml:space="preserve">A1Benchmark</w:t>
      </w:r>
      <w:r>
        <w:t xml:space="preserve"> </w:t>
      </w:r>
      <w:r>
        <w:t xml:space="preserve">contains real-world labeled univariate series from Yahoo Webscope S5.</w:t>
      </w:r>
    </w:p>
    <w:p>
      <w:pPr>
        <w:pStyle w:val="BodyText"/>
      </w:pPr>
      <w:r>
        <w:t xml:space="preserve">In this subsection, we load the relevant data object, confirm its structure, and prepare a concise preview so the reader can understand what kind of signal will be explored.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(A1Benchmark)</w:t>
      </w:r>
      <w:r>
        <w:br/>
      </w:r>
      <w:r>
        <w:rPr>
          <w:rStyle w:val="NormalTok"/>
        </w:rPr>
        <w:t xml:space="preserve">A1Benchmark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(A1Benchmark)</w:t>
      </w:r>
      <w:r>
        <w:br/>
      </w:r>
      <w:r>
        <w:rPr>
          <w:rStyle w:val="NormalTok"/>
        </w:rPr>
        <w:t xml:space="preserve">a1_info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(A1Benchmark, </w:t>
      </w:r>
      <w:r>
        <w:rPr>
          <w:rStyle w:val="StringTok"/>
        </w:rPr>
        <w:t xml:space="preserve">"A1Benchmark"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A1Benchmark </w:t>
      </w:r>
      <w:r>
        <w:br/>
      </w:r>
      <w:r>
        <w:rPr>
          <w:rStyle w:val="VerbatimChar"/>
        </w:rPr>
        <w:t xml:space="preserve">## Number of series: 67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(a1_info)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/home/gpca/harbinger/examples/data/doc/01-benchmarks-yahoo_benchmarks_files/figure-docx/unnamed-chunk-3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a2benchmark"/>
    <w:p>
      <w:pPr>
        <w:pStyle w:val="Heading3"/>
      </w:pPr>
      <w:r>
        <w:t xml:space="preserve">A2Benchmark</w:t>
      </w:r>
    </w:p>
    <w:p>
      <w:pPr>
        <w:pStyle w:val="FirstParagraph"/>
      </w:pPr>
      <w:r>
        <w:rPr>
          <w:rStyle w:val="VerbatimChar"/>
        </w:rPr>
        <w:t xml:space="preserve">A2Benchmark</w:t>
      </w:r>
      <w:r>
        <w:t xml:space="preserve"> </w:t>
      </w:r>
      <w:r>
        <w:t xml:space="preserve">contains synthetic labeled univariate series designed for anomaly-detection benchmarking.</w:t>
      </w:r>
    </w:p>
    <w:p>
      <w:pPr>
        <w:pStyle w:val="BodyText"/>
      </w:pPr>
      <w:r>
        <w:t xml:space="preserve">In this subsection, we load the relevant data object, confirm its structure, and prepare a concise preview so the reader can understand what kind of signal will be explored.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(A2Benchmark)</w:t>
      </w:r>
      <w:r>
        <w:br/>
      </w:r>
      <w:r>
        <w:rPr>
          <w:rStyle w:val="NormalTok"/>
        </w:rPr>
        <w:t xml:space="preserve">A2Benchmark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(A2Benchmark)</w:t>
      </w:r>
      <w:r>
        <w:br/>
      </w:r>
      <w:r>
        <w:rPr>
          <w:rStyle w:val="NormalTok"/>
        </w:rPr>
        <w:t xml:space="preserve">a2_info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(A2Benchmark, </w:t>
      </w:r>
      <w:r>
        <w:rPr>
          <w:rStyle w:val="StringTok"/>
        </w:rPr>
        <w:t xml:space="preserve">"A2Benchmark"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A2Benchmark </w:t>
      </w:r>
      <w:r>
        <w:br/>
      </w:r>
      <w:r>
        <w:rPr>
          <w:rStyle w:val="VerbatimChar"/>
        </w:rPr>
        <w:t xml:space="preserve">## Number of series: 100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(a2_info)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data/doc/01-benchmarks-yahoo_benchmarks_files/figure-docx/unnamed-chunk-5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a3benchmark"/>
    <w:p>
      <w:pPr>
        <w:pStyle w:val="Heading3"/>
      </w:pPr>
      <w:r>
        <w:t xml:space="preserve">A3Benchmark</w:t>
      </w:r>
    </w:p>
    <w:p>
      <w:pPr>
        <w:pStyle w:val="FirstParagraph"/>
      </w:pPr>
      <w:r>
        <w:rPr>
          <w:rStyle w:val="VerbatimChar"/>
        </w:rPr>
        <w:t xml:space="preserve">A3Benchmark</w:t>
      </w:r>
      <w:r>
        <w:t xml:space="preserve"> </w:t>
      </w:r>
      <w:r>
        <w:t xml:space="preserve">contains synthetic Yahoo series with labeled anomalous observations.</w:t>
      </w:r>
    </w:p>
    <w:p>
      <w:pPr>
        <w:pStyle w:val="BodyText"/>
      </w:pPr>
      <w:r>
        <w:t xml:space="preserve">In this subsection, we load the relevant data object, confirm its structure, and prepare a concise preview so the reader can understand what kind of signal will be explored.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(A3Benchmark)</w:t>
      </w:r>
      <w:r>
        <w:br/>
      </w:r>
      <w:r>
        <w:rPr>
          <w:rStyle w:val="NormalTok"/>
        </w:rPr>
        <w:t xml:space="preserve">A3Benchmark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(A3Benchmark)</w:t>
      </w:r>
      <w:r>
        <w:br/>
      </w:r>
      <w:r>
        <w:rPr>
          <w:rStyle w:val="NormalTok"/>
        </w:rPr>
        <w:t xml:space="preserve">a3_info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(A3Benchmark, </w:t>
      </w:r>
      <w:r>
        <w:rPr>
          <w:rStyle w:val="StringTok"/>
        </w:rPr>
        <w:t xml:space="preserve">"A3Benchmark"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A3Benchmark </w:t>
      </w:r>
      <w:r>
        <w:br/>
      </w:r>
      <w:r>
        <w:rPr>
          <w:rStyle w:val="VerbatimChar"/>
        </w:rPr>
        <w:t xml:space="preserve">## Number of series: 100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(a3_info)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/home/gpca/harbinger/examples/data/doc/01-benchmarks-yahoo_benchmarks_files/figure-docx/unnamed-chunk-7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a4benchmark"/>
    <w:p>
      <w:pPr>
        <w:pStyle w:val="Heading3"/>
      </w:pPr>
      <w:r>
        <w:t xml:space="preserve">A4Benchmark</w:t>
      </w:r>
    </w:p>
    <w:p>
      <w:pPr>
        <w:pStyle w:val="FirstParagraph"/>
      </w:pPr>
      <w:r>
        <w:rPr>
          <w:rStyle w:val="VerbatimChar"/>
        </w:rPr>
        <w:t xml:space="preserve">A4Benchmark</w:t>
      </w:r>
      <w:r>
        <w:t xml:space="preserve"> </w:t>
      </w:r>
      <w:r>
        <w:t xml:space="preserve">combines synthetic anomalies and structural changes in the Yahoo benchmark family.</w:t>
      </w:r>
    </w:p>
    <w:p>
      <w:pPr>
        <w:pStyle w:val="BodyText"/>
      </w:pPr>
      <w:r>
        <w:t xml:space="preserve">In this subsection, we load the relevant data object, confirm its structure, and prepare a concise preview so the reader can understand what kind of signal will be explored.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(A4Benchmark)</w:t>
      </w:r>
      <w:r>
        <w:br/>
      </w:r>
      <w:r>
        <w:rPr>
          <w:rStyle w:val="NormalTok"/>
        </w:rPr>
        <w:t xml:space="preserve">A4Benchmark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(A4Benchmark)</w:t>
      </w:r>
      <w:r>
        <w:br/>
      </w:r>
      <w:r>
        <w:rPr>
          <w:rStyle w:val="NormalTok"/>
        </w:rPr>
        <w:t xml:space="preserve">a4_info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(A4Benchmark, </w:t>
      </w:r>
      <w:r>
        <w:rPr>
          <w:rStyle w:val="StringTok"/>
        </w:rPr>
        <w:t xml:space="preserve">"A4Benchmark"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A4Benchmark </w:t>
      </w:r>
      <w:r>
        <w:br/>
      </w:r>
      <w:r>
        <w:rPr>
          <w:rStyle w:val="VerbatimChar"/>
        </w:rPr>
        <w:t xml:space="preserve">## Number of series: 100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(a4_info)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/home/gpca/harbinger/examples/data/doc/01-benchmarks-yahoo_benchmarks_files/figure-docx/unnamed-chunk-9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End w:id="41"/>
    <w:bookmarkStart w:id="4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Yahoo Webscope S5 benchmark documentation and downstream studies on labeled anomaly detection.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42">
        <w:r>
          <w:rPr>
            <w:rStyle w:val="Hyperlink"/>
          </w:rPr>
          <w:t xml:space="preserve">doi:10.1007/978-3-031-75941-3</w:t>
        </w:r>
      </w:hyperlink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2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2026-03-13T00:37:33Z</dcterms:created>
  <dcterms:modified xsi:type="dcterms:W3CDTF">2026-03-13T00:37:33Z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