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1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8" w:name="ucr_ecg"/>
    <w:p>
      <w:pPr>
        <w:pStyle w:val="Heading3"/>
      </w:pPr>
      <w:r>
        <w:t xml:space="preserve">ucr_ecg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ucr_nasa"/>
    <w:p>
      <w:pPr>
        <w:pStyle w:val="Heading3"/>
      </w:pPr>
      <w:r>
        <w:t xml:space="preserve">ucr_nasa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ucr_int_bleeding"/>
    <w:p>
      <w:pPr>
        <w:pStyle w:val="Heading3"/>
      </w:pPr>
      <w:r>
        <w:t xml:space="preserve">ucr_int_bleeding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cr_power_demand"/>
    <w:p>
      <w:pPr>
        <w:pStyle w:val="Heading3"/>
      </w:pPr>
      <w:r>
        <w:t xml:space="preserve">ucr_power_demand</w:t>
      </w:r>
    </w:p>
    <w:p>
      <w:pPr>
        <w:pStyle w:val="FirstParagraph"/>
      </w:pPr>
      <w:r>
        <w:t xml:space="preserve">In this subsection, we load the relevant data object, confirm its structure, and prepare a concise preview so the reader can understand what kind of signal will be explored.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data/doc/03-benchmarks-ucr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2026-03-13T00:37:42Z</dcterms:created>
  <dcterms:modified xsi:type="dcterms:W3CDTF">2026-03-13T00:37:42Z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