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1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8" w:name="mit_bih_mlii"/>
    <w:p>
      <w:pPr>
        <w:pStyle w:val="Heading3"/>
      </w:pPr>
      <w:r>
        <w:t xml:space="preserve">mit_bih_MLII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mit_bih_v1"/>
    <w:p>
      <w:pPr>
        <w:pStyle w:val="Heading3"/>
      </w:pPr>
      <w:r>
        <w:t xml:space="preserve">mit_bih_V1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mit_bih_v2"/>
    <w:p>
      <w:pPr>
        <w:pStyle w:val="Heading3"/>
      </w:pPr>
      <w:r>
        <w:t xml:space="preserve">mit_bih_V2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t_bih_v5"/>
    <w:p>
      <w:pPr>
        <w:pStyle w:val="Heading3"/>
      </w:pPr>
      <w:r>
        <w:t xml:space="preserve">mit_bih_V5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2">
        <w:r>
          <w:rPr>
            <w:rStyle w:val="Hyperlink"/>
          </w:rPr>
          <w:t xml:space="preserve">doi:10.1007/978-3-031-75941-3</w:t>
        </w:r>
      </w:hyperlink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4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2026-03-13T00:37:48Z</dcterms:created>
  <dcterms:modified xsi:type="dcterms:W3CDTF">2026-03-13T00:37:48Z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