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shows how to load the full</w:t>
      </w:r>
      <w:r>
        <w:t xml:space="preserve"> </w:t>
      </w:r>
      <w:r>
        <w:rPr>
          <w:rStyle w:val="VerbatimChar"/>
        </w:rPr>
        <w:t xml:space="preserve">gecco</w:t>
      </w:r>
      <w:r>
        <w:t xml:space="preserve"> </w:t>
      </w:r>
      <w:r>
        <w:t xml:space="preserve">dataset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inspect how many series are available, verify whether the collection is univariate or multivariate, and plot the first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purpose here is exploratory orientation. Before modeling, the reader can confirm how the dataset object is organized and which column should be used as the first signal in a quick inspection. To keep the visualization readable, the plot shows at most the first 1000 observations of the first series.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the bundled</w:t>
      </w:r>
      <w:r>
        <w:t xml:space="preserve"> </w:t>
      </w:r>
      <w:r>
        <w:rPr>
          <w:rStyle w:val="VerbatimChar"/>
        </w:rPr>
        <w:t xml:space="preserve">gecco</w:t>
      </w:r>
      <w:r>
        <w:t xml:space="preserve"> </w:t>
      </w:r>
      <w:r>
        <w:t xml:space="preserve">object and replace it with the full dataset</w:t>
      </w:r>
    </w:p>
    <w:p>
      <w:pPr>
        <w:pStyle w:val="Compact"/>
        <w:numPr>
          <w:ilvl w:val="0"/>
          <w:numId w:val="1001"/>
        </w:numPr>
      </w:pPr>
      <w:r>
        <w:t xml:space="preserve">count the available series in the collection</w:t>
      </w:r>
    </w:p>
    <w:p>
      <w:pPr>
        <w:pStyle w:val="Compact"/>
        <w:numPr>
          <w:ilvl w:val="0"/>
          <w:numId w:val="1001"/>
        </w:numPr>
      </w:pPr>
      <w:r>
        <w:t xml:space="preserve">inspect the signal columns present in the first series</w:t>
      </w:r>
    </w:p>
    <w:p>
      <w:pPr>
        <w:pStyle w:val="Compact"/>
        <w:numPr>
          <w:ilvl w:val="0"/>
          <w:numId w:val="1001"/>
        </w:numPr>
      </w:pPr>
      <w:r>
        <w:t xml:space="preserve">plot a didactic preview of the first available signal with its event labels</w:t>
      </w:r>
    </w:p>
    <w:bookmarkEnd w:id="22"/>
    <w:bookmarkStart w:id="23" w:name="how-to-read-this-walkthrough"/>
    <w:p>
      <w:pPr>
        <w:pStyle w:val="Heading2"/>
      </w:pPr>
      <w:r>
        <w:t xml:space="preserve">How to read this walkthrough</w:t>
      </w:r>
    </w:p>
    <w:p>
      <w:pPr>
        <w:pStyle w:val="FirstParagraph"/>
      </w:pPr>
      <w:r>
        <w:t xml:space="preserve">The code blocks below follow the same learning rhythm used throughout the collection: prepare the environment, choose the dataset, configure the method, run the analysis, and then inspect the result. Readers who are still learning time-series mining can use that order to understand not only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each command does, but also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appears at that stage of the workflow.</w:t>
      </w:r>
    </w:p>
    <w:p>
      <w:pPr>
        <w:pStyle w:val="BodyText"/>
      </w:pPr>
      <w:r>
        <w:t xml:space="preserve">As you go through the notebook, read the inline comments inside each chunk as the operational explanation and use the surrounding prose as the conceptual guide.</w:t>
      </w:r>
    </w:p>
    <w:bookmarkEnd w:id="23"/>
    <w:bookmarkStart w:id="30" w:name="walkthrough"/>
    <w:p>
      <w:pPr>
        <w:pStyle w:val="Heading2"/>
      </w:pPr>
      <w:r>
        <w:t xml:space="preserve">Walkthrough</w:t>
      </w:r>
    </w:p>
    <w:bookmarkStart w:id="24" w:name="define-the-support-structures"/>
    <w:p>
      <w:pPr>
        <w:pStyle w:val="Heading3"/>
      </w:pPr>
      <w:r>
        <w:t xml:space="preserve">Define the Support Structures</w:t>
      </w:r>
    </w:p>
    <w:p>
      <w:pPr>
        <w:pStyle w:val="FirstParagraph"/>
      </w:pPr>
      <w:r>
        <w:t xml:space="preserve">Before applying the workflow itself, we define the helper functions or custom objects that make the example possible. This is one of the most important didactic moments in extension-oriented notebooks because it shows the contract that Harbinger expects and where the reader can adapt the behavior later.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We begin by organizing the environment, loading the packages, and selecting the dataset used in the notebook. This part is intentionally more direct: the goal is to make the starting point explicit before the method-specific reasoning begins.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(gecco)</w:t>
      </w:r>
      <w:r>
        <w:br/>
      </w:r>
      <w:r>
        <w:rPr>
          <w:rStyle w:val="NormalTok"/>
        </w:rPr>
        <w:t xml:space="preserve">gecco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(gecco)</w:t>
      </w:r>
      <w:r>
        <w:br/>
      </w:r>
      <w:r>
        <w:rPr>
          <w:rStyle w:val="NormalTok"/>
        </w:rPr>
        <w:t xml:space="preserve">gecco_info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(gecco, </w:t>
      </w:r>
      <w:r>
        <w:rPr>
          <w:rStyle w:val="StringTok"/>
        </w:rPr>
        <w:t xml:space="preserve">"gecco"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gecco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bookmarkEnd w:id="25"/>
    <w:bookmarkStart w:id="29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The final plots are not just illustrations. They help the reader connect the method’s internal output with the original series, making it easier to see why a point, range, motif, or symbolic pattern was emphasized and whether that emphasis is coherent with the stated objective of the example.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(gecco_info)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data/doc/06-domain-gecco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GECCO Challenge 2018 material for water-quality event detection.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1">
        <w:r>
          <w:rPr>
            <w:rStyle w:val="Hyperlink"/>
          </w:rPr>
          <w:t xml:space="preserve">doi:10.1007/978-3-031-75941-3</w:t>
        </w:r>
      </w:hyperlink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1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2026-03-13T00:37:57Z</dcterms:created>
  <dcterms:modified xsi:type="dcterms:W3CDTF">2026-03-13T00:37:57Z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