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demonstrates Harbinger utility distance functions for summarizing residual magnitudes (L1 and L2) and plotting results for quick inspection. L1 emphasizes robustness to outliers; L2 emphasizes larger deviations. These aggregations feed subsequent thresholding/outlier rules in the detection pipeline.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3" w:name="how-to-read-this-walkthrough"/>
    <w:p>
      <w:pPr>
        <w:pStyle w:val="Heading2"/>
      </w:pPr>
      <w:r>
        <w:t xml:space="preserve">How to read this walkthrough</w:t>
      </w:r>
    </w:p>
    <w:p>
      <w:pPr>
        <w:pStyle w:val="FirstParagraph"/>
      </w:pPr>
      <w:r>
        <w:t xml:space="preserve">The code blocks below follow the same learning rhythm used throughout the collection: prepare the environment, choose the dataset, configure the method, run the analysis, and then inspect the result. Readers who are still learning time-series mining can use that order to understand not only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each command does, but also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appears at that stage of the workflow.</w:t>
      </w:r>
    </w:p>
    <w:p>
      <w:pPr>
        <w:pStyle w:val="BodyText"/>
      </w:pPr>
      <w:r>
        <w:t xml:space="preserve">As you go through the notebook, read the inline comments inside each chunk as the operational explanation and use the surrounding prose as the conceptual guide.</w:t>
      </w:r>
    </w:p>
    <w:bookmarkEnd w:id="23"/>
    <w:bookmarkStart w:id="32" w:name="walkthrough"/>
    <w:p>
      <w:pPr>
        <w:pStyle w:val="Heading2"/>
      </w:pPr>
      <w:r>
        <w:t xml:space="preserve">Walkthrough</w:t>
      </w:r>
    </w:p>
    <w:bookmarkStart w:id="24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We begin by organizing the environment, loading the packages, and selecting the dataset used in the notebook. This part is intentionally more direct: the goal is to make the starting point explicit before the method-specific reasoning begins.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Instantiate utilities</w:t>
      </w:r>
      <w:r>
        <w:br/>
      </w:r>
      <w:r>
        <w:rPr>
          <w:rStyle w:val="NormalTok"/>
        </w:rPr>
        <w:t xml:space="preserve">hutils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harutils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Generate synthetic residuals</w:t>
      </w:r>
      <w:r>
        <w:br/>
      </w:r>
      <w:r>
        <w:rPr>
          <w:rStyle w:val="NormalTok"/>
        </w:rPr>
        <w:t xml:space="preserve">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4"/>
    <w:bookmarkStart w:id="31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final plots are not just illustrations. They help the reader connect the method’s internal output with the original series, making it easier to see why a point, range, motif, or symbolic pattern was emphasized and whether that emphasis is coherent with the stated objective of the example.</w:t>
      </w:r>
    </w:p>
    <w:p>
      <w:pPr>
        <w:pStyle w:val="SourceCode"/>
      </w:pPr>
      <w:r>
        <w:rPr>
          <w:rStyle w:val="CommentTok"/>
        </w:rPr>
        <w:t xml:space="preserve"># L1 aggregation of residual magnitude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har_distance_l1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5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L2 aggregation of residual magnitude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har_distance_l2</w:t>
      </w:r>
      <w:r>
        <w:rPr>
          <w:rStyle w:val="NormalTok"/>
        </w:rPr>
        <w:t xml:space="preserve">(values)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v2)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general/doc/05-utilities-examples_harutils_distance_files/figure-docx/unnamed-chunk-6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Addison‑Wesley. (IQR/boxplot heuristics underpin some thresholding rules)</w:t>
      </w:r>
    </w:p>
    <w:p>
      <w:pPr>
        <w:pStyle w:val="Compact"/>
        <w:numPr>
          <w:ilvl w:val="0"/>
          <w:numId w:val="1002"/>
        </w:numPr>
      </w:pPr>
      <w:r>
        <w:t xml:space="preserve">Shewhart, W. A. (1931). Economic Control of Quality of Manufactured Product. D. Van Nostrand. (three‑sigma rule)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2026-03-13T00:38:16Z</dcterms:created>
  <dcterms:modified xsi:type="dcterms:W3CDTF">2026-03-13T00:38:16Z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