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bookmarkEnd w:id="21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. The semantic point is the one stated above: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49  TRUE changepoint</w:t>
      </w:r>
      <w:r>
        <w:br/>
      </w:r>
      <w:r>
        <w:rPr>
          <w:rStyle w:val="VerbatimChar"/>
        </w:rPr>
        <w:t xml:space="preserve">## 2  64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29"/>
    <w:bookmarkStart w:id="33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p>
      <w:pPr>
        <w:pStyle w:val="Compact"/>
        <w:numPr>
          <w:ilvl w:val="0"/>
          <w:numId w:val="1003"/>
        </w:numPr>
      </w:pPr>
      <w:r>
        <w:t xml:space="preserve">Zeileis, A., Kleiber, C., Kramer, W., Hornik, K. (2003). Testing and dating of structural changes in practice. Computational Statistics &amp; Data Analysis, 44(1), 109-123.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3" Target="media/rId23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2026-03-13T22:39:33Z</dcterms:created>
  <dcterms:modified xsi:type="dcterms:W3CDTF">2026-03-13T22:39:33Z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