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adapts a moving average window from the dominant frequency (FFT) to smooth the series, then flags large deviations of the high-frequency component.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hanr_fft_sma</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hanr_fft_sma</w:t>
      </w:r>
      <w:r>
        <w:t xml:space="preserve">. The semantic point is the one stated above: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8-regression-hanr_fft_sma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each argument controls how strongly the method will emphasize that pattern when it later produces anomaly flags.</w:t>
      </w:r>
    </w:p>
    <w:p>
      <w:pPr>
        <w:pStyle w:val="SourceCode"/>
      </w:pPr>
      <w:r>
        <w:rPr>
          <w:rStyle w:val="CommentTok"/>
        </w:rPr>
        <w:t xml:space="preserve"># Configure the FFT+SMA detector</w:t>
      </w:r>
      <w:r>
        <w:br/>
      </w:r>
      <w:r>
        <w:rPr>
          <w:rStyle w:val="NormalTok"/>
        </w:rPr>
        <w:t xml:space="preserve">model </w:t>
      </w:r>
      <w:r>
        <w:rPr>
          <w:rStyle w:val="OtherTok"/>
        </w:rPr>
        <w:t xml:space="preserve">&lt;-</w:t>
      </w:r>
      <w:r>
        <w:rPr>
          <w:rStyle w:val="NormalTok"/>
        </w:rPr>
        <w:t xml:space="preserve"> </w:t>
      </w:r>
      <w:r>
        <w:rPr>
          <w:rStyle w:val="FunctionTok"/>
        </w:rPr>
        <w:t xml:space="preserve">hanr_fft_sma</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hanr_fft_sma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serie - ts_sma: longer object length is not a multiple of shorter object length</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hanr_fft_sma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8-regression-hanr_fft_sma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8-regression-hanr_fft_sma_files/46125a77fa3eb8fe836b0dd33e1fc6c2de6b54a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2026-05-12T00:50:49Z</dcterms:created>
  <dcterms:modified xsi:type="dcterms:W3CDTF">2026-05-12T00:50:49Z</dcterms:modified>
</cp:coreProperties>
</file>

<file path=docProps/custom.xml><?xml version="1.0" encoding="utf-8"?>
<Properties xmlns="http://schemas.openxmlformats.org/officeDocument/2006/custom-properties" xmlns:vt="http://schemas.openxmlformats.org/officeDocument/2006/docPropsVTypes"/>
</file>