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bookmarkEnd w:id="9"/>
    <w:bookmarkStart w:id="10" w:name="method-at-a-glance"/>
    <w:p>
      <w:pPr>
        <w:pStyle w:val="Heading2"/>
      </w:pPr>
      <w:r>
        <w:t xml:space="preserve">Method at a glance</w:t>
      </w:r>
    </w:p>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han_autoencoder(..., autoenc_adv_ed, ...)</w:t>
      </w:r>
      <w:r>
        <w:t xml:space="preserve">. The semantic point is the one stated above: adversarial Autoencoder (encode-decode): An adversarial autoencoder (AAE) augments a standard encoder-decoder with an adversarial objective on the latent code,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adversarial Autoencoder (encode-decode): An adversarial autoencoder (AAE) augments a standard encoder-decoder with an adversarial objective on the latent code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86-autoencoder-han_autoenc_adv_e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adversarial Autoencoder (encode-decode): An adversarial autoencoder (AAE) augments a standard encoder-decoder with an adversarial objective on the latent code, so each argument controls how strongly the method will emphasize that pattern when it later produces reconstruction-based anomaly flags.</w:t>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han_autoencoder(..., autoenc_adv_ed, ...)</w:t>
      </w:r>
      <w:r>
        <w:t xml:space="preserve">, the important question is whether the resulting reconstruction-based anomaly flags really correspond to the pattern implied by the method description above, rather than to arbitrary numerical variation.</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17"/>
    <w:bookmarkStart w:id="18" w:name="evaluate-what-was-found"/>
    <w:p>
      <w:pPr>
        <w:pStyle w:val="Heading3"/>
      </w:pPr>
      <w:r>
        <w:t xml:space="preserve">Evaluate What Was Found</w:t>
      </w:r>
    </w:p>
    <w:p>
      <w:pPr>
        <w:pStyle w:val="FirstParagraph"/>
      </w:pPr>
      <w:r>
        <w:t xml:space="preserve">The evaluation asks whether the reconstruction-based anomaly flags produced by</w:t>
      </w:r>
      <w:r>
        <w:t xml:space="preserve"> </w:t>
      </w:r>
      <w:r>
        <w:rPr>
          <w:rStyle w:val="VerbatimChar"/>
        </w:rPr>
        <w:t xml:space="preserve">han_autoencoder(..., autoenc_adv_ed,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reconstruction-based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86-autoencoder-han_autoenc_adv_ed_files/58277a5e1a2f35161ed1d6a218120a8083a078a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86-autoencoder-han_autoenc_adv_ed_files/05eb76acb0d0c1f74a8cf00eb81d9be8e51c727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Makhzani, A., Shlens, J., Jaitly, N., Goodfellow, I., &amp; Frey, B. (2016). Adversarial Autoencoders. arXiv:1511.05644.</w:t>
      </w:r>
    </w:p>
    <w:p>
      <w:pPr>
        <w:pStyle w:val="Compact"/>
        <w:numPr>
          <w:ilvl w:val="0"/>
          <w:numId w:val="1002"/>
        </w:numPr>
      </w:pPr>
      <w:r>
        <w:t xml:space="preserve">Chalapathy, R., &amp; Chawla, S. (2019). Deep Learning for Anomaly Detection: A Survey. arXiv:1901.03407.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2026-05-12T00:52:16Z</dcterms:created>
  <dcterms:modified xsi:type="dcterms:W3CDTF">2026-05-12T00:52:16Z</dcterms:modified>
</cp:coreProperties>
</file>

<file path=docProps/custom.xml><?xml version="1.0" encoding="utf-8"?>
<Properties xmlns="http://schemas.openxmlformats.org/officeDocument/2006/custom-properties" xmlns:vt="http://schemas.openxmlformats.org/officeDocument/2006/docPropsVTypes"/>
</file>