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hanr_emd</w:t>
      </w:r>
      <w:r>
        <w:t xml:space="preserve">. The semantic point is the one stated above: eMD regression anomaly detection: This detector uses Empirical Mode Decomposition (CEEMD) to extract intrinsic mode functions (IMFs) and isolates high-frequency components that capture abrupt deviations,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eMD regression anomaly detection: This detector uses Empirical Mode Decomposition (CEEMD) to extract intrinsic mode functions (IMFs) and isolates high-frequency components that capture abrupt deviations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4-regression-hanr_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eMD regression anomaly detection: This detector uses Empirical Mode Decomposition (CEEMD) to extract intrinsic mode functions (IMFs) and isolates high-frequency components that capture abrupt deviations, so each argument controls how strongly the method will emphasize that pattern when it later produces anomaly flags.</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4-regression-hanr_em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4-regression-hanr_emd_files/b273b8f3122a9fb988018a261d2ec30b2f4cef1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2026-05-08T15:32:30Z</dcterms:created>
  <dcterms:modified xsi:type="dcterms:W3CDTF">2026-05-08T15:32:30Z</dcterms:modified>
</cp:coreProperties>
</file>

<file path=docProps/custom.xml><?xml version="1.0" encoding="utf-8"?>
<Properties xmlns="http://schemas.openxmlformats.org/officeDocument/2006/custom-properties" xmlns:vt="http://schemas.openxmlformats.org/officeDocument/2006/docPropsVTypes"/>
</file>