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adapts a moving average window from the dominant frequency (FFT) to smooth the series, then flags large deviations of the high-frequency component.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hanr_fft_sma</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hanr_fft_sma</w:t>
      </w:r>
      <w:r>
        <w:t xml:space="preserve">. The semantic point is the one stated above: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0-regression-hanr_fft_sma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so each argument controls how strongly the method will emphasize that pattern when it later produces anomaly flags.</w:t>
      </w:r>
    </w:p>
    <w:p>
      <w:pPr>
        <w:pStyle w:val="SourceCode"/>
      </w:pPr>
      <w:r>
        <w:rPr>
          <w:rStyle w:val="CommentTok"/>
        </w:rPr>
        <w:t xml:space="preserve"># Configure the FFT+SMA detector</w:t>
      </w:r>
      <w:r>
        <w:br/>
      </w:r>
      <w:r>
        <w:rPr>
          <w:rStyle w:val="NormalTok"/>
        </w:rPr>
        <w:t xml:space="preserve">model </w:t>
      </w:r>
      <w:r>
        <w:rPr>
          <w:rStyle w:val="OtherTok"/>
        </w:rPr>
        <w:t xml:space="preserve">&lt;-</w:t>
      </w:r>
      <w:r>
        <w:rPr>
          <w:rStyle w:val="NormalTok"/>
        </w:rPr>
        <w:t xml:space="preserve"> </w:t>
      </w:r>
      <w:r>
        <w:rPr>
          <w:rStyle w:val="FunctionTok"/>
        </w:rPr>
        <w:t xml:space="preserve">hanr_fft_sma</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hanr_fft_sma</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serie - ts_sma: longer object length is not a multiple of shorter object length</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hanr_fft_sma</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0-regression-hanr_fft_sma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0-regression-hanr_fft_sma_files/46125a77fa3eb8fe836b0dd33e1fc6c2de6b54ac.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2026-05-08T15:32:42Z</dcterms:created>
  <dcterms:modified xsi:type="dcterms:W3CDTF">2026-05-08T15:32:42Z</dcterms:modified>
</cp:coreProperties>
</file>

<file path=docProps/custom.xml><?xml version="1.0" encoding="utf-8"?>
<Properties xmlns="http://schemas.openxmlformats.org/officeDocument/2006/custom-properties" xmlns:vt="http://schemas.openxmlformats.org/officeDocument/2006/docPropsVTypes"/>
</file>