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volatility-oriented, and univariate drift-oriented techniques.</w:t>
      </w:r>
    </w:p>
    <w:p>
      <w:pPr>
        <w:pStyle w:val="Compact"/>
        <w:numPr>
          <w:ilvl w:val="0"/>
          <w:numId w:val="1002"/>
        </w:numPr>
      </w:pPr>
      <w:hyperlink r:id="rId15">
        <w:r>
          <w:rPr>
            <w:rStyle w:val="Hyperlink"/>
          </w:rPr>
          <w:t xml:space="preserve">Waypoint examples</w:t>
        </w:r>
      </w:hyperlink>
      <w:r>
        <w:t xml:space="preserve"> </w:t>
      </w:r>
      <w:r>
        <w:t xml:space="preserve">- adaptive autoencoder + CUSUM notebooks for change-point detection with different encoder architectures.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2026-05-08T15:35:48Z</dcterms:created>
  <dcterms:modified xsi:type="dcterms:W3CDTF">2026-05-08T15:35:48Z</dcterms:modified>
</cp:coreProperties>
</file>

<file path=docProps/custom.xml><?xml version="1.0" encoding="utf-8"?>
<Properties xmlns="http://schemas.openxmlformats.org/officeDocument/2006/custom-properties" xmlns:vt="http://schemas.openxmlformats.org/officeDocument/2006/docPropsVTypes"/>
</file>