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9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The ARIMA-based anomaly detector fits an ARIMA model to the time series and flags large residuals as anomalies. In this walkthrough we will:</w:t>
      </w:r>
    </w:p>
    <w:p>
      <w:pPr>
        <w:pStyle w:val="Compact"/>
        <w:numPr>
          <w:ilvl w:val="0"/>
          <w:numId w:val="1001"/>
        </w:numPr>
      </w:pPr>
      <w:r>
        <w:t xml:space="preserve">Load a synthetic anomaly dataset and visualize it</w:t>
      </w:r>
    </w:p>
    <w:p>
      <w:pPr>
        <w:pStyle w:val="Compact"/>
        <w:numPr>
          <w:ilvl w:val="0"/>
          <w:numId w:val="1001"/>
        </w:numPr>
      </w:pPr>
      <w:r>
        <w:t xml:space="preserve">Configure and run the ARIMA detector (</w:t>
      </w:r>
      <w:r>
        <w:rPr>
          <w:rStyle w:val="VerbatimChar"/>
        </w:rPr>
        <w:t xml:space="preserve">hanr_arima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Inspect detections, evaluate against ground truth, and plot residuals and thresholds</w:t>
      </w:r>
    </w:p>
    <w:bookmarkEnd w:id="20"/>
    <w:bookmarkStart w:id="21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ARIMA regression anomaly detection: This detector fits an ARIMA(p, d, q) model to the series and uses large standardized residuals as anomaly evidence. After estimating the model, residual magnitudes are summarized via a distance function and thresholded using outlier heuristics provided by</w:t>
      </w:r>
      <w:r>
        <w:t xml:space="preserve"> </w:t>
      </w:r>
      <w:r>
        <w:rPr>
          <w:rStyle w:val="VerbatimChar"/>
        </w:rPr>
        <w:t xml:space="preserve">harutils()</w:t>
      </w:r>
      <w:r>
        <w:t xml:space="preserve">.</w:t>
      </w:r>
    </w:p>
    <w:bookmarkEnd w:id="21"/>
    <w:bookmarkStart w:id="22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2"/>
        </w:numPr>
      </w:pPr>
      <w:r>
        <w:t xml:space="preserve">understand the purpose of the example and when the technique is useful</w:t>
      </w:r>
    </w:p>
    <w:p>
      <w:pPr>
        <w:pStyle w:val="Compact"/>
        <w:numPr>
          <w:ilvl w:val="0"/>
          <w:numId w:val="1002"/>
        </w:numPr>
      </w:pPr>
      <w:r>
        <w:t xml:space="preserve">follow the workflow from data loading to model fitting and detection</w:t>
      </w:r>
    </w:p>
    <w:p>
      <w:pPr>
        <w:pStyle w:val="Compact"/>
        <w:numPr>
          <w:ilvl w:val="0"/>
          <w:numId w:val="1002"/>
        </w:numPr>
      </w:pPr>
      <w:r>
        <w:t xml:space="preserve">inspect the evaluation outputs and the diagnostic plots produced by Harbinger</w:t>
      </w:r>
    </w:p>
    <w:bookmarkEnd w:id="22"/>
    <w:bookmarkStart w:id="32" w:name="walkthrough"/>
    <w:p>
      <w:pPr>
        <w:pStyle w:val="Heading2"/>
      </w:pPr>
      <w:r>
        <w:t xml:space="preserve">Walkthrough</w:t>
      </w:r>
    </w:p>
    <w:p>
      <w:pPr>
        <w:pStyle w:val="SourceCode"/>
      </w:pPr>
      <w:r>
        <w:rPr>
          <w:rStyle w:val="CommentTok"/>
        </w:rPr>
        <w:t xml:space="preserve"># Install Harbinger (if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</w:p>
    <w:p>
      <w:pPr>
        <w:pStyle w:val="SourceCode"/>
      </w:pPr>
      <w:r>
        <w:rPr>
          <w:rStyle w:val="CommentTok"/>
        </w:rPr>
        <w:t xml:space="preserve"># Load example anomaly datasets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(examples_anomalies)</w:t>
      </w:r>
    </w:p>
    <w:p>
      <w:pPr>
        <w:pStyle w:val="SourceCode"/>
      </w:pPr>
      <w:r>
        <w:rPr>
          <w:rStyle w:val="CommentTok"/>
        </w:rPr>
        <w:t xml:space="preserve"># Select a simple anomaly dataset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examples_anomalies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1.0000000 FALSE</w:t>
      </w:r>
      <w:r>
        <w:br/>
      </w:r>
      <w:r>
        <w:rPr>
          <w:rStyle w:val="VerbatimChar"/>
        </w:rPr>
        <w:t xml:space="preserve">## 2 0.9689124 FALSE</w:t>
      </w:r>
      <w:r>
        <w:br/>
      </w:r>
      <w:r>
        <w:rPr>
          <w:rStyle w:val="VerbatimChar"/>
        </w:rPr>
        <w:t xml:space="preserve">## 3 0.8775826 FALSE</w:t>
      </w:r>
      <w:r>
        <w:br/>
      </w:r>
      <w:r>
        <w:rPr>
          <w:rStyle w:val="VerbatimChar"/>
        </w:rPr>
        <w:t xml:space="preserve">## 4 0.7316889 FALSE</w:t>
      </w:r>
      <w:r>
        <w:br/>
      </w:r>
      <w:r>
        <w:rPr>
          <w:rStyle w:val="VerbatimChar"/>
        </w:rPr>
        <w:t xml:space="preserve">## 5 0.5403023 FALSE</w:t>
      </w:r>
      <w:r>
        <w:br/>
      </w:r>
      <w:r>
        <w:rPr>
          <w:rStyle w:val="VerbatimChar"/>
        </w:rPr>
        <w:t xml:space="preserve">## 6 0.3153224 FALSE</w:t>
      </w:r>
    </w:p>
    <w:p>
      <w:pPr>
        <w:pStyle w:val="SourceCode"/>
      </w:pPr>
      <w:r>
        <w:rPr>
          <w:rStyle w:val="CommentTok"/>
        </w:rPr>
        <w:t xml:space="preserve"># Plot the raw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arbinger/examples/anomalies/doc/hanr_arima_files/figure-docx/unnamed-chunk-5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Configure ARIMA-based anomaly detector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hanr_arima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CommentTok"/>
        </w:rPr>
        <w:t xml:space="preserve"># Fit the detector (estimates ARIMA order and caches parameters)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Run detection to compute residual magnitudes and flags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Show detected anomaly indices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idx event    type</w:t>
      </w:r>
      <w:r>
        <w:br/>
      </w:r>
      <w:r>
        <w:rPr>
          <w:rStyle w:val="VerbatimChar"/>
        </w:rPr>
        <w:t xml:space="preserve">## 1  50  TRUE anomaly</w:t>
      </w:r>
    </w:p>
    <w:p>
      <w:pPr>
        <w:pStyle w:val="SourceCode"/>
      </w:pPr>
      <w:r>
        <w:rPr>
          <w:rStyle w:val="CommentTok"/>
        </w:rPr>
        <w:t xml:space="preserve"># Evaluate detections against labeled events</w:t>
      </w:r>
      <w:r>
        <w:br/>
      </w:r>
      <w:r>
        <w:rPr>
          <w:rStyle w:val="NormalTok"/>
        </w:rPr>
        <w:t xml:space="preserve">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1     0    </w:t>
      </w:r>
      <w:r>
        <w:br/>
      </w:r>
      <w:r>
        <w:rPr>
          <w:rStyle w:val="VerbatimChar"/>
        </w:rPr>
        <w:t xml:space="preserve">## FALSE     0     100</w:t>
      </w:r>
    </w:p>
    <w:p>
      <w:pPr>
        <w:pStyle w:val="SourceCode"/>
      </w:pPr>
      <w:r>
        <w:rPr>
          <w:rStyle w:val="CommentTok"/>
        </w:rPr>
        <w:t xml:space="preserve"># Plot detections vs. ground truth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gpca/harbinger/examples/anomalies/doc/hanr_arima_files/figure-docx/unnamed-chunk-11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the residual magnitude and the decision thresholds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/home/gpca/harbinger/examples/anomalies/doc/hanr_arima_files/figure-docx/unnamed-chunk-12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3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3"/>
        </w:numPr>
      </w:pPr>
      <w:r>
        <w:t xml:space="preserve">Box, G. E. P., Jenkins, G. M., Reinsel, G. C., Ljung, G. M. (2015). Time Series Analysis: Forecasting and Control. Wiley.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2026-03-12T00:56:27Z</dcterms:created>
  <dcterms:modified xsi:type="dcterms:W3CDTF">2026-03-12T00:56:27Z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