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anomaly detection with</w:t>
      </w:r>
      <w:r>
        <w:t xml:space="preserve"> </w:t>
      </w:r>
      <w:r>
        <w:rPr>
          <w:rStyle w:val="VerbatimChar"/>
        </w:rPr>
        <w:t xml:space="preserve">hanr_histogram()</w:t>
      </w:r>
      <w:r>
        <w:t xml:space="preserve">. The goal is to show how a simple histogram-based density rule can flag rare observations without fitting a forecasting model.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rPr>
          <w:rStyle w:val="VerbatimChar"/>
        </w:rPr>
        <w:t xml:space="preserve">hanr_histogram()</w:t>
      </w:r>
      <w:r>
        <w:t xml:space="preserve"> </w:t>
      </w:r>
      <w:r>
        <w:t xml:space="preserve">builds a histogram of the observed values and labels points as anomalies when they fall into low-density bins or outside the observed bin range. It is a useful baseline because it focuses only on the empirical distribution of the series.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 a labeled anomaly dataset from Harbinger</w:t>
      </w:r>
    </w:p>
    <w:p>
      <w:pPr>
        <w:pStyle w:val="Compact"/>
        <w:numPr>
          <w:ilvl w:val="0"/>
          <w:numId w:val="1001"/>
        </w:numPr>
      </w:pPr>
      <w:r>
        <w:t xml:space="preserve">inspect the raw series before modeling</w:t>
      </w:r>
    </w:p>
    <w:p>
      <w:pPr>
        <w:pStyle w:val="Compact"/>
        <w:numPr>
          <w:ilvl w:val="0"/>
          <w:numId w:val="1001"/>
        </w:numPr>
      </w:pPr>
      <w:r>
        <w:t xml:space="preserve">configure the histogram detector and run detection</w:t>
      </w:r>
    </w:p>
    <w:p>
      <w:pPr>
        <w:pStyle w:val="Compact"/>
        <w:numPr>
          <w:ilvl w:val="0"/>
          <w:numId w:val="1001"/>
        </w:numPr>
      </w:pPr>
      <w:r>
        <w:t xml:space="preserve">compare the detected events with the ground truth</w:t>
      </w:r>
    </w:p>
    <w:p>
      <w:pPr>
        <w:pStyle w:val="Compact"/>
        <w:numPr>
          <w:ilvl w:val="0"/>
          <w:numId w:val="1001"/>
        </w:numPr>
      </w:pPr>
      <w:r>
        <w:t xml:space="preserve">visualize the result with</w:t>
      </w:r>
      <w:r>
        <w:t xml:space="preserve"> </w:t>
      </w:r>
      <w:r>
        <w:rPr>
          <w:rStyle w:val="VerbatimChar"/>
        </w:rPr>
        <w:t xml:space="preserve">har_plot()</w:t>
      </w:r>
    </w:p>
    <w:bookmarkEnd w:id="22"/>
    <w:bookmarkStart w:id="29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</w:p>
    <w:p>
      <w:pPr>
        <w:pStyle w:val="SourceCode"/>
      </w:pPr>
      <w:r>
        <w:rPr>
          <w:rStyle w:val="CommentTok"/>
        </w:rPr>
        <w:t xml:space="preserve"># Load example anomaly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anomaly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histogram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the histogram-based anomaly detector</w:t>
      </w:r>
      <w:r>
        <w:br/>
      </w:r>
      <w:r>
        <w:rPr>
          <w:rStyle w:val="CommentTok"/>
        </w:rPr>
        <w:t xml:space="preserve"># The density threshold controls how rare a bin must be to trigger an anomaly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density_threshold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is a no-op here, but keeping the same workflow is useful for comparison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the detected anomaly indices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 1  TRUE anomaly</w:t>
      </w:r>
      <w:r>
        <w:br/>
      </w:r>
      <w:r>
        <w:rPr>
          <w:rStyle w:val="VerbatimChar"/>
        </w:rPr>
        <w:t xml:space="preserve">## 2  50  TRUE anomaly</w:t>
      </w:r>
    </w:p>
    <w:p>
      <w:pPr>
        <w:pStyle w:val="SourceCode"/>
      </w:pPr>
      <w:r>
        <w:rPr>
          <w:rStyle w:val="CommentTok"/>
        </w:rPr>
        <w:t xml:space="preserve"># Evaluate detections against the labeled events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1    </w:t>
      </w:r>
      <w:r>
        <w:br/>
      </w:r>
      <w:r>
        <w:rPr>
          <w:rStyle w:val="VerbatimChar"/>
        </w:rPr>
        <w:t xml:space="preserve">## FALSE     0     99</w:t>
      </w:r>
    </w:p>
    <w:p>
      <w:pPr>
        <w:pStyle w:val="SourceCode"/>
      </w:pPr>
      <w:r>
        <w:rPr>
          <w:rStyle w:val="CommentTok"/>
        </w:rPr>
        <w:t xml:space="preserve"># Plot detections and ground truth on the same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histogram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30">
        <w:r>
          <w:rPr>
            <w:rStyle w:val="Hyperlink"/>
          </w:rPr>
          <w:t xml:space="preserve">doi:10.1007/978-3-031-75941-3</w:t>
        </w:r>
      </w:hyperlink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hyperlink" Id="rId30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2026-03-12T00:56:54Z</dcterms:created>
  <dcterms:modified xsi:type="dcterms:W3CDTF">2026-03-12T00:56:54Z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