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The Chow-style structural break test estimates a linear model and finds breakpoints using F statistics. In this tutorial we:</w:t>
      </w:r>
    </w:p>
    <w:p>
      <w:pPr>
        <w:pStyle w:val="Compact"/>
        <w:numPr>
          <w:ilvl w:val="0"/>
          <w:numId w:val="1001"/>
        </w:numPr>
      </w:pPr>
      <w:r>
        <w:t xml:space="preserve">Load and visualize a simple change-point dataset</w:t>
      </w:r>
    </w:p>
    <w:p>
      <w:pPr>
        <w:pStyle w:val="Compact"/>
        <w:numPr>
          <w:ilvl w:val="0"/>
          <w:numId w:val="1001"/>
        </w:numPr>
      </w:pPr>
      <w:r>
        <w:t xml:space="preserve">Configure the Chow detector (</w:t>
      </w:r>
      <w:r>
        <w:rPr>
          <w:rStyle w:val="VerbatimChar"/>
        </w:rPr>
        <w:t xml:space="preserve">hcp_chow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Inspect detections and evaluate against labels</w:t>
      </w:r>
    </w:p>
    <w:bookmarkEnd w:id="20"/>
    <w:bookmarkStart w:id="21" w:name="method-at-a-glance"/>
    <w:p>
      <w:pPr>
        <w:pStyle w:val="Heading2"/>
      </w:pPr>
      <w:r>
        <w:t xml:space="preserve">Method at a glance</w:t>
      </w:r>
    </w:p>
    <w:p>
      <w:pPr>
        <w:pStyle w:val="FirstParagraph"/>
      </w:pPr>
      <w:r>
        <w:t xml:space="preserve">Chow tests: Chow tests for structural breaks in linear models using F-statistics over candidate breakpoints and returns estimated break locations. Harbinger wraps</w:t>
      </w:r>
      <w:r>
        <w:t xml:space="preserve"> </w:t>
      </w:r>
      <w:r>
        <w:rPr>
          <w:rStyle w:val="VerbatimChar"/>
        </w:rPr>
        <w:t xml:space="preserve">strucchange</w:t>
      </w:r>
      <w:r>
        <w:t xml:space="preserve"> </w:t>
      </w:r>
      <w:r>
        <w:t xml:space="preserve">F-stats/breakpoints.</w:t>
      </w:r>
    </w:p>
    <w:bookmarkEnd w:id="21"/>
    <w:bookmarkStart w:id="22" w:name="what-you-will-do"/>
    <w:p>
      <w:pPr>
        <w:pStyle w:val="Heading2"/>
      </w:pPr>
      <w:r>
        <w:t xml:space="preserve">What you will do</w:t>
      </w:r>
    </w:p>
    <w:p>
      <w:pPr>
        <w:pStyle w:val="Compact"/>
        <w:numPr>
          <w:ilvl w:val="0"/>
          <w:numId w:val="1002"/>
        </w:numPr>
      </w:pPr>
      <w:r>
        <w:t xml:space="preserve">understand the purpose of the example and when the technique is useful</w:t>
      </w:r>
    </w:p>
    <w:p>
      <w:pPr>
        <w:pStyle w:val="Compact"/>
        <w:numPr>
          <w:ilvl w:val="0"/>
          <w:numId w:val="1002"/>
        </w:numPr>
      </w:pPr>
      <w:r>
        <w:t xml:space="preserve">follow the workflow from data loading to model fitting and detection</w:t>
      </w:r>
    </w:p>
    <w:p>
      <w:pPr>
        <w:pStyle w:val="Compact"/>
        <w:numPr>
          <w:ilvl w:val="0"/>
          <w:numId w:val="1002"/>
        </w:numPr>
      </w:pPr>
      <w:r>
        <w:t xml:space="preserve">inspect the evaluation outputs and the diagnostic plots produced by Harbinger</w:t>
      </w:r>
    </w:p>
    <w:bookmarkEnd w:id="22"/>
    <w:bookmarkStart w:id="29" w:name="walkthrough"/>
    <w:p>
      <w:pPr>
        <w:pStyle w:val="Heading2"/>
      </w:pPr>
      <w:r>
        <w:t xml:space="preserve">Walkthrough</w:t>
      </w:r>
    </w:p>
    <w:p>
      <w:pPr>
        <w:pStyle w:val="SourceCode"/>
      </w:pPr>
      <w:r>
        <w:rPr>
          <w:rStyle w:val="CommentTok"/>
        </w:rPr>
        <w:t xml:space="preserve"># Install Harbinger (if needed)</w:t>
      </w:r>
      <w:r>
        <w:br/>
      </w:r>
      <w:r>
        <w:rPr>
          <w:rStyle w:val="CommentTok"/>
        </w:rPr>
        <w:t xml:space="preserve">#install.packages("harbinger")</w:t>
      </w:r>
    </w:p>
    <w:p>
      <w:pPr>
        <w:pStyle w:val="SourceCode"/>
      </w:pPr>
      <w:r>
        <w:rPr>
          <w:rStyle w:val="CommentTok"/>
        </w:rPr>
        <w:t xml:space="preserve"># Load required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 </w:t>
      </w:r>
    </w:p>
    <w:p>
      <w:pPr>
        <w:pStyle w:val="SourceCode"/>
      </w:pPr>
      <w:r>
        <w:rPr>
          <w:rStyle w:val="CommentTok"/>
        </w:rPr>
        <w:t xml:space="preserve"># Load example change-point datasets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(examples_changepoints)</w:t>
      </w:r>
    </w:p>
    <w:p>
      <w:pPr>
        <w:pStyle w:val="SourceCode"/>
      </w:pPr>
      <w:r>
        <w:rPr>
          <w:rStyle w:val="CommentTok"/>
        </w:rPr>
        <w:t xml:space="preserve"># Select the simple dataset</w:t>
      </w:r>
      <w:r>
        <w:br/>
      </w:r>
      <w:r>
        <w:rPr>
          <w:rStyle w:val="NormalTok"/>
        </w:rPr>
        <w:t xml:space="preserve">dataset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examples_changepoints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simple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(dataset)</w:t>
      </w:r>
    </w:p>
    <w:p>
      <w:pPr>
        <w:pStyle w:val="SourceCode"/>
      </w:pPr>
      <w:r>
        <w:rPr>
          <w:rStyle w:val="VerbatimChar"/>
        </w:rPr>
        <w:t xml:space="preserve">##   serie event</w:t>
      </w:r>
      <w:r>
        <w:br/>
      </w:r>
      <w:r>
        <w:rPr>
          <w:rStyle w:val="VerbatimChar"/>
        </w:rPr>
        <w:t xml:space="preserve">## 1  0.00 FALSE</w:t>
      </w:r>
      <w:r>
        <w:br/>
      </w:r>
      <w:r>
        <w:rPr>
          <w:rStyle w:val="VerbatimChar"/>
        </w:rPr>
        <w:t xml:space="preserve">## 2  0.25 FALSE</w:t>
      </w:r>
      <w:r>
        <w:br/>
      </w:r>
      <w:r>
        <w:rPr>
          <w:rStyle w:val="VerbatimChar"/>
        </w:rPr>
        <w:t xml:space="preserve">## 3  0.50 FALSE</w:t>
      </w:r>
      <w:r>
        <w:br/>
      </w:r>
      <w:r>
        <w:rPr>
          <w:rStyle w:val="VerbatimChar"/>
        </w:rPr>
        <w:t xml:space="preserve">## 4  0.75 FALSE</w:t>
      </w:r>
      <w:r>
        <w:br/>
      </w:r>
      <w:r>
        <w:rPr>
          <w:rStyle w:val="VerbatimChar"/>
        </w:rPr>
        <w:t xml:space="preserve">## 5  1.00 FALSE</w:t>
      </w:r>
      <w:r>
        <w:br/>
      </w:r>
      <w:r>
        <w:rPr>
          <w:rStyle w:val="VerbatimChar"/>
        </w:rPr>
        <w:t xml:space="preserve">## 6  1.25 FALSE</w:t>
      </w:r>
    </w:p>
    <w:p>
      <w:pPr>
        <w:pStyle w:val="SourceCode"/>
      </w:pPr>
      <w:r>
        <w:rPr>
          <w:rStyle w:val="CommentTok"/>
        </w:rPr>
        <w:t xml:space="preserve"># Plot the raw time series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harbinger</w:t>
      </w:r>
      <w:r>
        <w:rPr>
          <w:rStyle w:val="NormalTok"/>
        </w:rPr>
        <w:t xml:space="preserve">(),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/home/gpca/harbinger/examples/change_point/doc/hcp_chow_files/figure-docx/unnamed-chunk-5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Configure the Chow detector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hcp_chow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CommentTok"/>
        </w:rPr>
        <w:t xml:space="preserve"># Fit the detector (no training required)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SourceCode"/>
      </w:pPr>
      <w:r>
        <w:rPr>
          <w:rStyle w:val="CommentTok"/>
        </w:rPr>
        <w:t xml:space="preserve"># Run detection</w:t>
      </w:r>
      <w:r>
        <w:br/>
      </w: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SourceCode"/>
      </w:pPr>
      <w:r>
        <w:rPr>
          <w:rStyle w:val="CommentTok"/>
        </w:rPr>
        <w:t xml:space="preserve"># Show detected change points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(detection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  idx event        type</w:t>
      </w:r>
      <w:r>
        <w:br/>
      </w:r>
      <w:r>
        <w:rPr>
          <w:rStyle w:val="VerbatimChar"/>
        </w:rPr>
        <w:t xml:space="preserve">## 1  50  TRUE changepoint</w:t>
      </w:r>
    </w:p>
    <w:p>
      <w:pPr>
        <w:pStyle w:val="SourceCode"/>
      </w:pPr>
      <w:r>
        <w:rPr>
          <w:rStyle w:val="CommentTok"/>
        </w:rPr>
        <w:t xml:space="preserve"># Evaluate detections against labels</w:t>
      </w:r>
      <w:r>
        <w:br/>
      </w:r>
      <w:r>
        <w:rPr>
          <w:rStyle w:val="NormalTok"/>
        </w:rPr>
        <w:t xml:space="preserve">evaluation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(evaluation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confMatrix)</w:t>
      </w:r>
    </w:p>
    <w:p>
      <w:pPr>
        <w:pStyle w:val="SourceCode"/>
      </w:pPr>
      <w:r>
        <w:rPr>
          <w:rStyle w:val="VerbatimChar"/>
        </w:rPr>
        <w:t xml:space="preserve">##           event      </w:t>
      </w:r>
      <w:r>
        <w:br/>
      </w:r>
      <w:r>
        <w:rPr>
          <w:rStyle w:val="VerbatimChar"/>
        </w:rPr>
        <w:t xml:space="preserve">## detection TRUE  FALSE</w:t>
      </w:r>
      <w:r>
        <w:br/>
      </w:r>
      <w:r>
        <w:rPr>
          <w:rStyle w:val="VerbatimChar"/>
        </w:rPr>
        <w:t xml:space="preserve">## TRUE      1     0    </w:t>
      </w:r>
      <w:r>
        <w:br/>
      </w:r>
      <w:r>
        <w:rPr>
          <w:rStyle w:val="VerbatimChar"/>
        </w:rPr>
        <w:t xml:space="preserve">## FALSE     0     100</w:t>
      </w:r>
    </w:p>
    <w:p>
      <w:pPr>
        <w:pStyle w:val="SourceCode"/>
      </w:pPr>
      <w:r>
        <w:rPr>
          <w:rStyle w:val="CommentTok"/>
        </w:rPr>
        <w:t xml:space="preserve"># Plot detections vs. ground truth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detection,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/home/gpca/harbinger/examples/change_point/doc/hcp_chow_files/figure-docx/unnamed-chunk-11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9"/>
    <w:bookmarkStart w:id="31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3"/>
        </w:numPr>
      </w:pPr>
      <w:r>
        <w:t xml:space="preserve">Zeileis, A., Leisch, F., Kleiber, C., Hornik, K. (2002). strucchange: An R package for testing for structural change in linear regression models. Journal of Statistical Software, 7(2).</w:t>
      </w:r>
      <w:r>
        <w:t xml:space="preserve"> </w:t>
      </w:r>
      <w:hyperlink r:id="rId30">
        <w:r>
          <w:rPr>
            <w:rStyle w:val="Hyperlink"/>
          </w:rPr>
          <w:t xml:space="preserve">doi:10.18637/jss.v007.i02</w:t>
        </w:r>
      </w:hyperlink>
    </w:p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image" Id="rId23" Target="media/rId23.png" /><Relationship Type="http://schemas.openxmlformats.org/officeDocument/2006/relationships/hyperlink" Id="rId30" Target="doi:10.18637/jss.v007.i0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doi:10.18637/jss.v007.i0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2026-03-12T00:57:49Z</dcterms:created>
  <dcterms:modified xsi:type="dcterms:W3CDTF">2026-03-12T00:57:49Z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