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ChangeFinder-GARCH models volatility with GARCH and detects change points by smoothing residual deviations.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a change-point dataset</w:t>
      </w:r>
    </w:p>
    <w:p>
      <w:pPr>
        <w:pStyle w:val="Compact"/>
        <w:numPr>
          <w:ilvl w:val="0"/>
          <w:numId w:val="1001"/>
        </w:numPr>
      </w:pPr>
      <w:r>
        <w:t xml:space="preserve">Configure and run the GARCH-based change detector (</w:t>
      </w:r>
      <w:r>
        <w:rPr>
          <w:rStyle w:val="VerbatimChar"/>
        </w:rPr>
        <w:t xml:space="preserve">hcp_garch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residuals with thresholds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ChangeFinder with GARCH: ChangeFinder with GARCH models conditional variance dynamics; residual-based scores are smoothed and thresholded to flag volatility regime shifts.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simple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serie event</w:t>
      </w:r>
      <w:r>
        <w:br/>
      </w:r>
      <w:r>
        <w:rPr>
          <w:rStyle w:val="VerbatimChar"/>
        </w:rPr>
        <w:t xml:space="preserve">## 1  0.00 FALSE</w:t>
      </w:r>
      <w:r>
        <w:br/>
      </w:r>
      <w:r>
        <w:rPr>
          <w:rStyle w:val="VerbatimChar"/>
        </w:rPr>
        <w:t xml:space="preserve">## 2  0.25 FALSE</w:t>
      </w:r>
      <w:r>
        <w:br/>
      </w:r>
      <w:r>
        <w:rPr>
          <w:rStyle w:val="VerbatimChar"/>
        </w:rPr>
        <w:t xml:space="preserve">## 3  0.50 FALSE</w:t>
      </w:r>
      <w:r>
        <w:br/>
      </w:r>
      <w:r>
        <w:rPr>
          <w:rStyle w:val="VerbatimChar"/>
        </w:rPr>
        <w:t xml:space="preserve">## 4  0.75 FALSE</w:t>
      </w:r>
      <w:r>
        <w:br/>
      </w:r>
      <w:r>
        <w:rPr>
          <w:rStyle w:val="VerbatimChar"/>
        </w:rPr>
        <w:t xml:space="preserve">## 5  1.00 FALSE</w:t>
      </w:r>
      <w:r>
        <w:br/>
      </w:r>
      <w:r>
        <w:rPr>
          <w:rStyle w:val="VerbatimChar"/>
        </w:rPr>
        <w:t xml:space="preserve">## 6  1.25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garch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GARCH-based ChangeFinder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hcp_garch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 50  TRUE changepoint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garch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garch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3">
        <w:r>
          <w:rPr>
            <w:rStyle w:val="Hyperlink"/>
          </w:rPr>
          <w:t xml:space="preserve">doi:10.1007/978-3-031-75941-3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2026-03-12T00:57:51Z</dcterms:created>
  <dcterms:modified xsi:type="dcterms:W3CDTF">2026-03-12T00:57:51Z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