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 — Extension Examples</w:t>
      </w:r>
    </w:p>
    <w:bookmarkStart w:id="27" w:name="custom-extension-examples"/>
    <w:p>
      <w:pPr>
        <w:pStyle w:val="Heading1"/>
      </w:pPr>
      <w:r>
        <w:t xml:space="preserve">Custom — Extension Examples</w:t>
      </w:r>
    </w:p>
    <w:p>
      <w:pPr>
        <w:pStyle w:val="FirstParagraph"/>
      </w:pPr>
      <w:r>
        <w:t xml:space="preserve">This section mirrors one of the central ideas behind Harbinger: the package is not only a collection of built-in detectors, but also a framework that can be extended with new detectors, transformations, and evaluation strategies.</w:t>
      </w:r>
    </w:p>
    <w:p>
      <w:pPr>
        <w:pStyle w:val="BodyText"/>
      </w:pPr>
      <w:r>
        <w:t xml:space="preserve">The examples in this folder are intentionally didactic. Each one shows the smallest useful contract for a different type of extension:</w:t>
      </w:r>
    </w:p>
    <w:p>
      <w:pPr>
        <w:pStyle w:val="Compact"/>
        <w:numPr>
          <w:ilvl w:val="0"/>
          <w:numId w:val="1001"/>
        </w:numPr>
      </w:pPr>
      <w:r>
        <w:t xml:space="preserve">define a constructor;</w:t>
      </w:r>
    </w:p>
    <w:p>
      <w:pPr>
        <w:pStyle w:val="Compact"/>
        <w:numPr>
          <w:ilvl w:val="0"/>
          <w:numId w:val="1001"/>
        </w:numPr>
      </w:pPr>
      <w:r>
        <w:t xml:space="preserve">store the configuration inside the object;</w:t>
      </w:r>
    </w:p>
    <w:p>
      <w:pPr>
        <w:pStyle w:val="Compact"/>
        <w:numPr>
          <w:ilvl w:val="0"/>
          <w:numId w:val="1001"/>
        </w:numPr>
      </w:pPr>
      <w:r>
        <w:t xml:space="preserve">implement the expected S3 methods;</w:t>
      </w:r>
    </w:p>
    <w:p>
      <w:pPr>
        <w:pStyle w:val="Compact"/>
        <w:numPr>
          <w:ilvl w:val="0"/>
          <w:numId w:val="1001"/>
        </w:numPr>
      </w:pPr>
      <w:r>
        <w:t xml:space="preserve">reuse the regular Harbinger workflow around that custom class.</w:t>
      </w:r>
    </w:p>
    <w:bookmarkStart w:id="26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custom_transformation.md</w:t>
        </w:r>
      </w:hyperlink>
      <w:r>
        <w:t xml:space="preserve"> </w:t>
      </w:r>
      <w:r>
        <w:t xml:space="preserve">— a custom median filter used before detection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custom_anomaly.md</w:t>
        </w:r>
      </w:hyperlink>
      <w:r>
        <w:t xml:space="preserve"> </w:t>
      </w:r>
      <w:r>
        <w:t xml:space="preserve">— a custom anomaly detector based on</w:t>
      </w:r>
      <w:r>
        <w:t xml:space="preserve"> </w:t>
      </w:r>
      <w:r>
        <w:rPr>
          <w:rStyle w:val="VerbatimChar"/>
        </w:rPr>
        <w:t xml:space="preserve">forecast::tsoutliers()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custom_sequence_anomaly.md</w:t>
        </w:r>
      </w:hyperlink>
      <w:r>
        <w:t xml:space="preserve"> </w:t>
      </w:r>
      <w:r>
        <w:t xml:space="preserve">— a custom collective-anomaly detector that returns full anomalous ranges instead of a single representative point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custom_change_point.md</w:t>
        </w:r>
      </w:hyperlink>
      <w:r>
        <w:t xml:space="preserve"> </w:t>
      </w:r>
      <w:r>
        <w:t xml:space="preserve">— a custom joinpoint-regression detector using</w:t>
      </w:r>
      <w:r>
        <w:t xml:space="preserve"> </w:t>
      </w:r>
      <w:r>
        <w:rPr>
          <w:rStyle w:val="VerbatimChar"/>
        </w:rPr>
        <w:t xml:space="preserve">segmented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custom_motif.md</w:t>
        </w:r>
      </w:hyperlink>
      <w:r>
        <w:t xml:space="preserve"> </w:t>
      </w:r>
      <w:r>
        <w:t xml:space="preserve">— a custom motif detector based on DTW subsequence clustering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custom_evaluation.md</w:t>
        </w:r>
      </w:hyperlink>
      <w:r>
        <w:t xml:space="preserve"> </w:t>
      </w:r>
      <w:r>
        <w:t xml:space="preserve">— a custom range-aware evaluator for anomalous intervals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custom/custom_anomaly.md" TargetMode="External" /><Relationship Type="http://schemas.openxmlformats.org/officeDocument/2006/relationships/hyperlink" Id="rId23" Target="/examples/custom/custom_change_point.md" TargetMode="External" /><Relationship Type="http://schemas.openxmlformats.org/officeDocument/2006/relationships/hyperlink" Id="rId25" Target="/examples/custom/custom_evaluation.md" TargetMode="External" /><Relationship Type="http://schemas.openxmlformats.org/officeDocument/2006/relationships/hyperlink" Id="rId24" Target="/examples/custom/custom_motif.md" TargetMode="External" /><Relationship Type="http://schemas.openxmlformats.org/officeDocument/2006/relationships/hyperlink" Id="rId22" Target="/examples/custom/custom_sequence_anomaly.md" TargetMode="External" /><Relationship Type="http://schemas.openxmlformats.org/officeDocument/2006/relationships/hyperlink" Id="rId20" Target="/examples/custom/custom_transform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custom/custom_anomaly.md" TargetMode="External" /><Relationship Type="http://schemas.openxmlformats.org/officeDocument/2006/relationships/hyperlink" Id="rId23" Target="/examples/custom/custom_change_point.md" TargetMode="External" /><Relationship Type="http://schemas.openxmlformats.org/officeDocument/2006/relationships/hyperlink" Id="rId25" Target="/examples/custom/custom_evaluation.md" TargetMode="External" /><Relationship Type="http://schemas.openxmlformats.org/officeDocument/2006/relationships/hyperlink" Id="rId24" Target="/examples/custom/custom_motif.md" TargetMode="External" /><Relationship Type="http://schemas.openxmlformats.org/officeDocument/2006/relationships/hyperlink" Id="rId22" Target="/examples/custom/custom_sequence_anomaly.md" TargetMode="External" /><Relationship Type="http://schemas.openxmlformats.org/officeDocument/2006/relationships/hyperlink" Id="rId20" Target="/examples/custom/custom_transform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— Extension Examples</dc:title>
  <dc:creator/>
  <cp:keywords/>
  <dcterms:created xsi:type="dcterms:W3CDTF">2026-03-12T00:58:07Z</dcterms:created>
  <dcterms:modified xsi:type="dcterms:W3CDTF">2026-03-12T00:58:07Z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