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Harbinger Examples</w:t>
      </w:r>
    </w:p>
    <w:bookmarkStart w:id="30" w:name="harbinger-examples"/>
    <w:p>
      <w:pPr>
        <w:pStyle w:val="Heading1"/>
      </w:pPr>
      <w:r>
        <w:t xml:space="preserve">Harbinger Examples</w:t>
      </w:r>
    </w:p>
    <w:p>
      <w:pPr>
        <w:pStyle w:val="FirstParagraph"/>
      </w:pPr>
      <w:r>
        <w:t xml:space="preserve">This directory stores the source</w:t>
      </w:r>
      <w:r>
        <w:t xml:space="preserve"> </w:t>
      </w:r>
      <w:r>
        <w:rPr>
          <w:rStyle w:val="VerbatimChar"/>
        </w:rPr>
        <w:t xml:space="preserve">.Rmd</w:t>
      </w:r>
      <w:r>
        <w:t xml:space="preserve"> </w:t>
      </w:r>
      <w:r>
        <w:t xml:space="preserve">notebooks used to generate the Markdown material under</w:t>
      </w:r>
      <w:r>
        <w:t xml:space="preserve"> </w:t>
      </w:r>
      <w:r>
        <w:rPr>
          <w:rStyle w:val="VerbatimChar"/>
        </w:rPr>
        <w:t xml:space="preserve">/examples/</w:t>
      </w:r>
      <w:r>
        <w:t xml:space="preserve">. The files here are the editable sources; the rendered tutorials are expected to live in</w:t>
      </w:r>
      <w:r>
        <w:t xml:space="preserve"> </w:t>
      </w:r>
      <w:r>
        <w:rPr>
          <w:rStyle w:val="VerbatimChar"/>
        </w:rPr>
        <w:t xml:space="preserve">/examples/</w:t>
      </w:r>
      <w:r>
        <w:t xml:space="preserve"> </w:t>
      </w:r>
      <w:r>
        <w:t xml:space="preserve">after the generation step.</w:t>
      </w:r>
    </w:p>
    <w:p>
      <w:pPr>
        <w:pStyle w:val="BodyText"/>
      </w:pPr>
      <w:r>
        <w:t xml:space="preserve">Use this index as a didactic map of the example collection. Each section below points to the generated Markdown destination and explains what a reader should expect to learn in that group of examples.</w:t>
      </w:r>
    </w:p>
    <w:bookmarkStart w:id="20" w:name="suggested-reading-order"/>
    <w:p>
      <w:pPr>
        <w:pStyle w:val="Heading2"/>
      </w:pPr>
      <w:r>
        <w:t xml:space="preserve">Suggested reading order</w:t>
      </w:r>
    </w:p>
    <w:p>
      <w:pPr>
        <w:pStyle w:val="Compact"/>
        <w:numPr>
          <w:ilvl w:val="0"/>
          <w:numId w:val="1001"/>
        </w:numPr>
      </w:pPr>
      <w:r>
        <w:t xml:space="preserve">start with</w:t>
      </w:r>
      <w:r>
        <w:t xml:space="preserve"> </w:t>
      </w:r>
      <w:r>
        <w:rPr>
          <w:rStyle w:val="VerbatimChar"/>
        </w:rPr>
        <w:t xml:space="preserve">tutorial</w:t>
      </w:r>
      <w:r>
        <w:t xml:space="preserve"> </w:t>
      </w:r>
      <w:r>
        <w:t xml:space="preserve">for the numbered guided path</w:t>
      </w:r>
    </w:p>
    <w:p>
      <w:pPr>
        <w:pStyle w:val="Compact"/>
        <w:numPr>
          <w:ilvl w:val="0"/>
          <w:numId w:val="1001"/>
        </w:numPr>
      </w:pPr>
      <w:r>
        <w:t xml:space="preserve">continue with</w:t>
      </w:r>
      <w:r>
        <w:t xml:space="preserve"> </w:t>
      </w:r>
      <w:r>
        <w:rPr>
          <w:rStyle w:val="VerbatimChar"/>
        </w:rPr>
        <w:t xml:space="preserve">general</w:t>
      </w:r>
      <w:r>
        <w:t xml:space="preserve"> </w:t>
      </w:r>
      <w:r>
        <w:t xml:space="preserve">for a compact package tour and the evaluation utilities</w:t>
      </w:r>
    </w:p>
    <w:p>
      <w:pPr>
        <w:pStyle w:val="Compact"/>
        <w:numPr>
          <w:ilvl w:val="0"/>
          <w:numId w:val="1001"/>
        </w:numPr>
      </w:pPr>
      <w:r>
        <w:t xml:space="preserve">visit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if you want to understand the benchmark datasets before modeling</w:t>
      </w:r>
    </w:p>
    <w:p>
      <w:pPr>
        <w:pStyle w:val="Compact"/>
        <w:numPr>
          <w:ilvl w:val="0"/>
          <w:numId w:val="1001"/>
        </w:numPr>
      </w:pPr>
      <w:r>
        <w:t xml:space="preserve">visit</w:t>
      </w:r>
      <w:r>
        <w:t xml:space="preserve"> </w:t>
      </w:r>
      <w:r>
        <w:rPr>
          <w:rStyle w:val="VerbatimChar"/>
        </w:rPr>
        <w:t xml:space="preserve">transformations</w:t>
      </w:r>
      <w:r>
        <w:t xml:space="preserve"> </w:t>
      </w:r>
      <w:r>
        <w:t xml:space="preserve">to see how the series can be smoothed or symbolized before analysis</w:t>
      </w:r>
    </w:p>
    <w:p>
      <w:pPr>
        <w:pStyle w:val="Compact"/>
        <w:numPr>
          <w:ilvl w:val="0"/>
          <w:numId w:val="1001"/>
        </w:numPr>
      </w:pPr>
      <w:r>
        <w:t xml:space="preserve">move to</w:t>
      </w:r>
      <w:r>
        <w:t xml:space="preserve"> </w:t>
      </w:r>
      <w:r>
        <w:rPr>
          <w:rStyle w:val="VerbatimChar"/>
        </w:rPr>
        <w:t xml:space="preserve">anomalies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change_point</w:t>
      </w:r>
      <w:r>
        <w:t xml:space="preserve"> </w:t>
      </w:r>
      <w:r>
        <w:t xml:space="preserve">when you are ready to run event-detection workflows</w:t>
      </w:r>
    </w:p>
    <w:p>
      <w:pPr>
        <w:pStyle w:val="Compact"/>
        <w:numPr>
          <w:ilvl w:val="0"/>
          <w:numId w:val="1001"/>
        </w:numPr>
      </w:pPr>
      <w:r>
        <w:t xml:space="preserve">visit</w:t>
      </w:r>
      <w:r>
        <w:t xml:space="preserve"> </w:t>
      </w:r>
      <w:r>
        <w:rPr>
          <w:rStyle w:val="VerbatimChar"/>
        </w:rPr>
        <w:t xml:space="preserve">custom</w:t>
      </w:r>
      <w:r>
        <w:t xml:space="preserve"> </w:t>
      </w:r>
      <w:r>
        <w:t xml:space="preserve">when you want to learn how to extend the framework with your own components</w:t>
      </w:r>
    </w:p>
    <w:p>
      <w:pPr>
        <w:pStyle w:val="Compact"/>
        <w:numPr>
          <w:ilvl w:val="0"/>
          <w:numId w:val="1001"/>
        </w:numPr>
      </w:pPr>
      <w:r>
        <w:t xml:space="preserve">finish with</w:t>
      </w:r>
      <w:r>
        <w:t xml:space="preserve"> </w:t>
      </w:r>
      <w:r>
        <w:rPr>
          <w:rStyle w:val="VerbatimChar"/>
        </w:rPr>
        <w:t xml:space="preserve">motifs</w:t>
      </w:r>
      <w:r>
        <w:t xml:space="preserve"> </w:t>
      </w:r>
      <w:r>
        <w:t xml:space="preserve">for repeated-pattern and discord discovery examples</w:t>
      </w:r>
    </w:p>
    <w:bookmarkEnd w:id="20"/>
    <w:bookmarkStart w:id="29" w:name="directories"/>
    <w:p>
      <w:pPr>
        <w:pStyle w:val="Heading2"/>
      </w:pPr>
      <w:r>
        <w:t xml:space="preserve">Directories</w:t>
      </w:r>
    </w:p>
    <w:p>
      <w:pPr>
        <w:pStyle w:val="Compact"/>
        <w:numPr>
          <w:ilvl w:val="0"/>
          <w:numId w:val="1002"/>
        </w:numPr>
      </w:pPr>
      <w:hyperlink r:id="rId21">
        <w:r>
          <w:rPr>
            <w:rStyle w:val="Hyperlink"/>
          </w:rPr>
          <w:t xml:space="preserve">tutorial</w:t>
        </w:r>
      </w:hyperlink>
      <w:r>
        <w:t xml:space="preserve"> </w:t>
      </w:r>
      <w:r>
        <w:t xml:space="preserve">- a guided learning path that connects package basics, data understanding, transformations, event detection, evaluation, and motif-oriented tasks</w:t>
      </w:r>
    </w:p>
    <w:p>
      <w:pPr>
        <w:pStyle w:val="Compact"/>
        <w:numPr>
          <w:ilvl w:val="0"/>
          <w:numId w:val="1002"/>
        </w:numPr>
      </w:pPr>
      <w:hyperlink r:id="rId22">
        <w:r>
          <w:rPr>
            <w:rStyle w:val="Hyperlink"/>
          </w:rPr>
          <w:t xml:space="preserve">general</w:t>
        </w:r>
      </w:hyperlink>
      <w:r>
        <w:t xml:space="preserve"> </w:t>
      </w:r>
      <w:r>
        <w:t xml:space="preserve">- high-level tours, utility examples, and hard or soft evaluation notebooks</w:t>
      </w:r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custom</w:t>
        </w:r>
      </w:hyperlink>
      <w:r>
        <w:t xml:space="preserve"> </w:t>
      </w:r>
      <w:r>
        <w:t xml:space="preserve">- extension-oriented notebooks showing how to implement custom detectors, transformations, and evaluation rules on top of the Harbinger contracts</w:t>
      </w:r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data</w:t>
        </w:r>
      </w:hyperlink>
      <w:r>
        <w:t xml:space="preserve"> </w:t>
      </w:r>
      <w:r>
        <w:t xml:space="preserve">- dataset-orientation notebooks showing how to load the full benchmark collections with</w:t>
      </w:r>
      <w:r>
        <w:t xml:space="preserve"> </w:t>
      </w:r>
      <w:r>
        <w:rPr>
          <w:rStyle w:val="VerbatimChar"/>
        </w:rPr>
        <w:t xml:space="preserve">loadfulldata()</w:t>
      </w:r>
      <w:r>
        <w:t xml:space="preserve">, count the available series, classify them as univariate or multivariate, and inspect the first signal with</w:t>
      </w:r>
      <w:r>
        <w:t xml:space="preserve"> </w:t>
      </w:r>
      <w:r>
        <w:rPr>
          <w:rStyle w:val="VerbatimChar"/>
        </w:rPr>
        <w:t xml:space="preserve">har_plot()</w:t>
      </w:r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transformations</w:t>
        </w:r>
      </w:hyperlink>
      <w:r>
        <w:t xml:space="preserve"> </w:t>
      </w:r>
      <w:r>
        <w:t xml:space="preserve">- smoothing and symbolic transformations such as</w:t>
      </w:r>
      <w:r>
        <w:t xml:space="preserve"> </w:t>
      </w:r>
      <w:r>
        <w:rPr>
          <w:rStyle w:val="VerbatimChar"/>
        </w:rPr>
        <w:t xml:space="preserve">mas()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trans_sax()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trans_xsax()</w:t>
      </w:r>
      <w:r>
        <w:t xml:space="preserve"> </w:t>
      </w:r>
      <w:r>
        <w:t xml:space="preserve">that prepare series for downstream analysis</w:t>
      </w:r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anomalies</w:t>
        </w:r>
      </w:hyperlink>
      <w:r>
        <w:t xml:space="preserve"> </w:t>
      </w:r>
      <w:r>
        <w:t xml:space="preserve">- anomaly detection across multiple families: regression residuals, clustering and discord methods, supervised classifiers, autoencoders, ensembles, and multivariate workflows</w:t>
      </w:r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change_point</w:t>
        </w:r>
      </w:hyperlink>
      <w:r>
        <w:t xml:space="preserve"> </w:t>
      </w:r>
      <w:r>
        <w:t xml:space="preserve">- change-point detection for single breaks, multiple breaks, structural changes, and volatility shifts</w:t>
      </w:r>
    </w:p>
    <w:p>
      <w:pPr>
        <w:pStyle w:val="Compact"/>
        <w:numPr>
          <w:ilvl w:val="0"/>
          <w:numId w:val="1002"/>
        </w:numPr>
      </w:pPr>
      <w:hyperlink r:id="rId28">
        <w:r>
          <w:rPr>
            <w:rStyle w:val="Hyperlink"/>
          </w:rPr>
          <w:t xml:space="preserve">motifs</w:t>
        </w:r>
      </w:hyperlink>
      <w:r>
        <w:t xml:space="preserve"> </w:t>
      </w:r>
      <w:r>
        <w:t xml:space="preserve">- motif and discord discovery via Matrix Profile and symbolic approaches such as SAX and XSAX</w:t>
      </w:r>
    </w:p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6" Target="/examples/anomalies/README.md" TargetMode="External" /><Relationship Type="http://schemas.openxmlformats.org/officeDocument/2006/relationships/hyperlink" Id="rId27" Target="/examples/change_point/README.md" TargetMode="External" /><Relationship Type="http://schemas.openxmlformats.org/officeDocument/2006/relationships/hyperlink" Id="rId23" Target="/examples/custom/README.md" TargetMode="External" /><Relationship Type="http://schemas.openxmlformats.org/officeDocument/2006/relationships/hyperlink" Id="rId24" Target="/examples/data/README.md" TargetMode="External" /><Relationship Type="http://schemas.openxmlformats.org/officeDocument/2006/relationships/hyperlink" Id="rId22" Target="/examples/general/README.md" TargetMode="External" /><Relationship Type="http://schemas.openxmlformats.org/officeDocument/2006/relationships/hyperlink" Id="rId28" Target="/examples/motifs/README.md" TargetMode="External" /><Relationship Type="http://schemas.openxmlformats.org/officeDocument/2006/relationships/hyperlink" Id="rId25" Target="/examples/transformations/README.md" TargetMode="External" /><Relationship Type="http://schemas.openxmlformats.org/officeDocument/2006/relationships/hyperlink" Id="rId21" Target="/examples/tutorial/READM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/examples/anomalies/README.md" TargetMode="External" /><Relationship Type="http://schemas.openxmlformats.org/officeDocument/2006/relationships/hyperlink" Id="rId27" Target="/examples/change_point/README.md" TargetMode="External" /><Relationship Type="http://schemas.openxmlformats.org/officeDocument/2006/relationships/hyperlink" Id="rId23" Target="/examples/custom/README.md" TargetMode="External" /><Relationship Type="http://schemas.openxmlformats.org/officeDocument/2006/relationships/hyperlink" Id="rId24" Target="/examples/data/README.md" TargetMode="External" /><Relationship Type="http://schemas.openxmlformats.org/officeDocument/2006/relationships/hyperlink" Id="rId22" Target="/examples/general/README.md" TargetMode="External" /><Relationship Type="http://schemas.openxmlformats.org/officeDocument/2006/relationships/hyperlink" Id="rId28" Target="/examples/motifs/README.md" TargetMode="External" /><Relationship Type="http://schemas.openxmlformats.org/officeDocument/2006/relationships/hyperlink" Id="rId25" Target="/examples/transformations/README.md" TargetMode="External" /><Relationship Type="http://schemas.openxmlformats.org/officeDocument/2006/relationships/hyperlink" Id="rId21" Target="/examples/tutorial/READM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Harbinger Examples</dc:title>
  <dc:creator/>
  <cp:keywords/>
  <dcterms:created xsi:type="dcterms:W3CDTF">2026-03-12T00:59:31Z</dcterms:created>
  <dcterms:modified xsi:type="dcterms:W3CDTF">2026-03-12T00:59:31Z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github_document</vt:lpwstr>
  </property>
</Properties>
</file>