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4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goal of this notebook is to present a complete Harbinger workflow: loading an example dataset, configuring the method used in the notebook, running the analysis, and interpreting the resulting outputs and plots.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notebook shows how Harbinger’s utility functions for distance aggregation, thresholding, and grouping affect anomaly flags and decision thresholds. We compare Gaussian 3‑sigma vs. boxplot/IQR vs. ratio rules, and grouping strategies for contiguous detections.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47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Instantiate utilities</w:t>
      </w:r>
      <w:r>
        <w:br/>
      </w:r>
      <w:r>
        <w:rPr>
          <w:rStyle w:val="NormalTok"/>
        </w:rPr>
        <w:t xml:space="preserve">hutils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harutils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Load a simple anomaly dataset and plot it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Baseline: ARIMA with default distance (L2) and threshold (Gaussian 3-sigma)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Boxplot/IQR threshold instead of Gaussian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har_outliers_boxplot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ratio thresholding emphasizing relative deviation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har_outliers_ratio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7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Change distance to L1 (absolute deviation)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har_distance_l1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8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L1 distance + Boxplot/IQR threshold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har_distance_l1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har_outliers_boxplot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9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L1 distance + ratio threshold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har_distance_l1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har_outliers_ratio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10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Keep only the highest-magnitude index in contiguous runs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har_distance_l1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har_outliers_boxplot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har_outliers_checks_highgroup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pca/harbinger/examples/general/doc/examples_harutils_outliers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Tukey, J. W. (1977). Exploratory Data Analysis. Addison‑Wesley. (boxplot/IQR outlier rule)</w:t>
      </w:r>
    </w:p>
    <w:p>
      <w:pPr>
        <w:pStyle w:val="Compact"/>
        <w:numPr>
          <w:ilvl w:val="0"/>
          <w:numId w:val="1002"/>
        </w:numPr>
      </w:pPr>
      <w:r>
        <w:t xml:space="preserve">Shewhart, W. A. (1931). Economic Control of Quality of Manufactured Product. D. Van Nostrand. (three‑sigma rule)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2026-03-12T00:59:00Z</dcterms:created>
  <dcterms:modified xsi:type="dcterms:W3CDTF">2026-03-12T00:59:00Z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