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introduces anomaly detection with a very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The goal is to help the reader understand what a detector does before moving to model-based methods.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hanr_histogram()</w:t>
      </w:r>
      <w:r>
        <w:t xml:space="preserve"> </w:t>
      </w:r>
      <w:r>
        <w:t xml:space="preserve">builds a histogram of observed values and marks points as anomalies when they fall in very low-density bins or outside the observed range. It is useful as a first baseline because it focuses on the empirical distribution of the series.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labeled anomaly dataset</w:t>
      </w:r>
    </w:p>
    <w:p>
      <w:pPr>
        <w:pStyle w:val="Compact"/>
        <w:numPr>
          <w:ilvl w:val="0"/>
          <w:numId w:val="1001"/>
        </w:numPr>
      </w:pPr>
      <w:r>
        <w:t xml:space="preserve">run the histogram-based detector</w:t>
      </w:r>
    </w:p>
    <w:p>
      <w:pPr>
        <w:pStyle w:val="Compact"/>
        <w:numPr>
          <w:ilvl w:val="0"/>
          <w:numId w:val="1001"/>
        </w:numPr>
      </w:pPr>
      <w:r>
        <w:t xml:space="preserve">inspect which points were flagged</w:t>
      </w:r>
    </w:p>
    <w:p>
      <w:pPr>
        <w:pStyle w:val="Compact"/>
        <w:numPr>
          <w:ilvl w:val="0"/>
          <w:numId w:val="1001"/>
        </w:numPr>
      </w:pPr>
      <w:r>
        <w:t xml:space="preserve">compare detections against the ground truth</w:t>
      </w:r>
    </w:p>
    <w:bookmarkEnd w:id="22"/>
    <w:bookmarkStart w:id="29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figure-docx/unnamed-chunk-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a simple baseline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SourceCode"/>
      </w:pPr>
      <w:r>
        <w:rPr>
          <w:rStyle w:val="CommentTok"/>
        </w:rPr>
        <w:t xml:space="preserve"># Compare detections with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SourceCode"/>
      </w:pPr>
      <w:r>
        <w:rPr>
          <w:rStyle w:val="CommentTok"/>
        </w:rPr>
        <w:t xml:space="preserve"># Plot detections and labels together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0">
        <w:r>
          <w:rPr>
            <w:rStyle w:val="Hyperlink"/>
          </w:rPr>
          <w:t xml:space="preserve">doi:10.1007/978-3-031-75941-3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3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2026-03-12T00:59:44Z</dcterms:created>
  <dcterms:modified xsi:type="dcterms:W3CDTF">2026-03-12T00:59:44Z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