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20"/>
    <w:bookmarkStart w:id="21"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32-ensemble-hanr_ensemble</w:t>
      </w:r>
      <w:r>
        <w:t xml:space="preserve">. The semantic point is the one stated above: ensemble anomaly detection: Majority-vote ensemble across multiple detectors, optionally with temporal fuzzification to combine nearby detections into a single event,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anomaly detection: Majority-vote ensemble across multiple detectors, optionally with temporal fuzzification to combine nearby detections into a single event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32-ensemble-hanr_ensemble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ensemble anomaly detection: Majority-vote ensemble across multiple detectors, optionally with temporal fuzzification to combine nearby detections into a single event, so each argument controls how strongly the method will emphasize that pattern when it later produces ensemble anomaly flags.</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32-ensemble-hanr_ensemble</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32-ensemble-hanr_ensemble</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32-ensemble-hanr_ensemble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32-ensemble-hanr_ensemble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8">
        <w:r>
          <w:rPr>
            <w:rStyle w:val="Hyperlink"/>
          </w:rPr>
          <w:t xml:space="preserve">doi:10.1007/978-3-031-75941-3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2026-03-13T23:45:21Z</dcterms:created>
  <dcterms:modified xsi:type="dcterms:W3CDTF">2026-03-13T23:45:21Z</dcterms:modified>
</cp:coreProperties>
</file>

<file path=docProps/custom.xml><?xml version="1.0" encoding="utf-8"?>
<Properties xmlns="http://schemas.openxmlformats.org/officeDocument/2006/custom-properties" xmlns:vt="http://schemas.openxmlformats.org/officeDocument/2006/docPropsVTypes"/>
</file>