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denoising autoencoder (</w:t>
      </w:r>
      <w:r>
        <w:rPr>
          <w:rStyle w:val="VerbatimChar"/>
        </w:rPr>
        <w:t xml:space="preserve">han_autoencoder(..., autoenc_denoise_ed, ...)</w:t>
      </w:r>
      <w:r>
        <w:t xml:space="preserve">). The model learns to reconstruct clean inputs from noisy windows; high reconstruction error indicates anomalies. Steps: load packages/data, visualize, define the architecture/epochs, fit, detect, evaluate, and plot.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Denoise Autoencoder (encode-decode): A denoising autoencoder reconstructs clean inputs from noisy windows, improving robustness. At inference, large reconstruction errors indicate anomalies.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. The semantic point is the one stated above: denoise Autoencoder (encode-decode): A denoising autoencoder reconstructs clean inputs from noisy windows, improving robustness,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denoise Autoencoder (encode-decode): A denoising autoencoder reconstructs clean inputs from noisy windows, improving robustness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denoise Autoencoder (encode-decode): A denoising autoencoder reconstructs clean inputs from noisy windows, improving robustness,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denoising autoencoder-based detector (autoenc_denoise_ed)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autoenc_denoise_ed,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2026-03-13T23:45:38Z</dcterms:created>
  <dcterms:modified xsi:type="dcterms:W3CDTF">2026-03-13T23:45:38Z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