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ChangeFinder-GARCH models volatility with GARCH and detects change points by smoothing residual deviations.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GARCH-based change detector (</w:t>
      </w:r>
      <w:r>
        <w:rPr>
          <w:rStyle w:val="VerbatimChar"/>
        </w:rPr>
        <w:t xml:space="preserve">hcp_garch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ChangeFinder with GARCH: ChangeFinder with GARCH models conditional variance dynamics; residual-based scores are smoothed and thresholded to flag volatility regime shifts.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hcp_garch</w:t>
      </w:r>
      <w:r>
        <w:t xml:space="preserve">. The semantic point is the one stated above: changeFinder with GARCH: ChangeFinder with GARCH models conditional variance dynamics; residual-based scores are smoothed and thresholded to flag volatility regime shifts,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changeFinder with GARCH: ChangeFinder with GARCH models conditional variance dynamics; residual-based scores are smoothed and thresholded to flag volatility regime shifts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9-volatility-hcp_garch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changeFinder with GARCH: ChangeFinder with GARCH models conditional variance dynamics; residual-based scores are smoothed and thresholded to flag volatility regime shifts,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GARCH-based ChangeFinder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hcp_garch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hcp_garch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hcp_garch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9-volatility-hcp_garch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9-volatility-hcp_garch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8">
        <w:r>
          <w:rPr>
            <w:rStyle w:val="Hyperlink"/>
          </w:rPr>
          <w:t xml:space="preserve">doi:10.1007/978-3-031-75941-3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2026-03-13T23:47:02Z</dcterms:created>
  <dcterms:modified xsi:type="dcterms:W3CDTF">2026-03-13T23:47:02Z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