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9"/>
    <w:bookmarkStart w:id="10"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hanr_arima</w:t>
      </w:r>
      <w:r>
        <w:t xml:space="preserve">. The semantic point is the one stated above: aRIMA regression anomaly detection: This detector fits an ARIMA(p, d, q) model to the series and uses large standardized residuals as anomaly evidence,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aRIMA regression anomaly detection: This detector fits an ARIMA(p, d, q) model to the series and uses large standardized residuals as anomaly evidence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2-regression-hanr_ari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aRIMA regression anomaly detection: This detector fits an ARIMA(p, d, q) model to the series and uses large standardized residuals as anomaly evidence, so each argument controls how strongly the method will emphasize that pattern when it later produces anomaly flags.</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hanr_arima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hanr_arima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2-regression-hanr_ari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2-regression-hanr_arima_files/ee36ed231aaeb9b6fd13599fa38ef422cf0b6ee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2026-05-10T03:23:18Z</dcterms:created>
  <dcterms:modified xsi:type="dcterms:W3CDTF">2026-05-10T03:23:18Z</dcterms:modified>
</cp:coreProperties>
</file>

<file path=docProps/custom.xml><?xml version="1.0" encoding="utf-8"?>
<Properties xmlns="http://schemas.openxmlformats.org/officeDocument/2006/custom-properties" xmlns:vt="http://schemas.openxmlformats.org/officeDocument/2006/docPropsVTypes"/>
</file>