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shows a simple supervised baseline for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Majority Classifier (</w:t>
      </w:r>
      <w:r>
        <w:rPr>
          <w:rStyle w:val="VerbatimChar"/>
        </w:rPr>
        <w:t xml:space="preserve">cla_majority</w:t>
      </w:r>
      <w:r>
        <w:t xml:space="preserve">). It predicts the most frequent class in training. Steps: load packages/data, visualize, preprocess (split + normalize), define and fit, detect, evaluate, and plot results.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 Events correspond to predicted positive class above the threshold.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5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Majority Classifier for events (hanc_ml + cla_majority)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9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ajority_files/figure-docx/unnamed-chunk-1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Bishop, C. M. (2006). Pattern Recognition and Machine Learning. Springer.</w:t>
      </w:r>
    </w:p>
    <w:p>
      <w:pPr>
        <w:pStyle w:val="Compact"/>
        <w:numPr>
          <w:ilvl w:val="0"/>
          <w:numId w:val="1002"/>
        </w:numPr>
      </w:pPr>
      <w:r>
        <w:t xml:space="preserve">Hyndman, R. J., Athanasopoulos, G. (2021). Forecasting: Principles and Practice. OTexts.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2026-03-12T00:56:05Z</dcterms:created>
  <dcterms:modified xsi:type="dcterms:W3CDTF">2026-03-12T00:56:05Z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