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2.png" ContentType="image/png"/>
  <Override PartName="/word/media/rId1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notebook demonstrates clustering-based anomaly detection using k-means via</w:t>
      </w:r>
      <w:r>
        <w:t xml:space="preserve"> </w:t>
      </w:r>
      <w:r>
        <w:rPr>
          <w:rStyle w:val="VerbatimChar"/>
        </w:rPr>
        <w:t xml:space="preserve">hanct_kmeans(k)</w:t>
      </w:r>
      <w:r>
        <w:t xml:space="preserve">. The model clusters subsequences and flags anomalies based on distance to cluster centroids. Steps: load packages/data, visualize, define k-means model, fit, detect, evaluate, and plot series and residuals.</w:t>
      </w:r>
    </w:p>
    <w:bookmarkEnd w:id="9"/>
    <w:bookmarkStart w:id="10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k-means clustering anomaly detection: This approach applies k-means clustering to either points (</w:t>
      </w:r>
      <w:r>
        <w:rPr>
          <w:rStyle w:val="VerbatimChar"/>
        </w:rPr>
        <w:t xml:space="preserve">seq = 1</w:t>
      </w:r>
      <w:r>
        <w:t xml:space="preserve">) or sliding-window subsequences (</w:t>
      </w:r>
      <w:r>
        <w:rPr>
          <w:rStyle w:val="VerbatimChar"/>
        </w:rPr>
        <w:t xml:space="preserve">seq &gt; 1</w:t>
      </w:r>
      <w:r>
        <w:t xml:space="preserve">). Observations (or windows) that lie far from their nearest centroid are flagged as anomalies or discords, respectively. The implementation wraps</w:t>
      </w:r>
      <w:r>
        <w:t xml:space="preserve"> </w:t>
      </w:r>
      <w:r>
        <w:rPr>
          <w:rStyle w:val="VerbatimChar"/>
        </w:rPr>
        <w:t xml:space="preserve">stats::kmeans</w:t>
      </w:r>
      <w:r>
        <w:t xml:space="preserve"> </w:t>
      </w:r>
      <w:r>
        <w:t xml:space="preserve">for clustering and uses</w:t>
      </w:r>
      <w:r>
        <w:t xml:space="preserve"> </w:t>
      </w:r>
      <w:r>
        <w:rPr>
          <w:rStyle w:val="VerbatimChar"/>
        </w:rPr>
        <w:t xml:space="preserve">harutils()</w:t>
      </w:r>
      <w:r>
        <w:t xml:space="preserve"> </w:t>
      </w:r>
      <w:r>
        <w:t xml:space="preserve">to summarize distances and set thresholds.</w:t>
      </w:r>
    </w:p>
    <w:bookmarkEnd w:id="10"/>
    <w:bookmarkStart w:id="26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understand the purpose of the example and when the technique is useful</w:t>
      </w:r>
    </w:p>
    <w:p>
      <w:pPr>
        <w:pStyle w:val="Compact"/>
        <w:numPr>
          <w:ilvl w:val="0"/>
          <w:numId w:val="1001"/>
        </w:numPr>
      </w:pPr>
      <w:r>
        <w:t xml:space="preserve">follow the workflow from data loading to model fitting and detection</w:t>
      </w:r>
    </w:p>
    <w:p>
      <w:pPr>
        <w:pStyle w:val="Compact"/>
        <w:numPr>
          <w:ilvl w:val="0"/>
          <w:numId w:val="1001"/>
        </w:numPr>
      </w:pPr>
      <w:r>
        <w:t xml:space="preserve">inspect the evaluation outputs and the diagnostic plots produced by Harbinger</w:t>
      </w:r>
    </w:p>
    <w:bookmarkStart w:id="11" w:name="prepare-the-example"/>
    <w:p>
      <w:pPr>
        <w:pStyle w:val="Heading3"/>
      </w:pPr>
      <w:r>
        <w:t xml:space="preserve">Prepare the Example</w:t>
      </w:r>
    </w:p>
    <w:p>
      <w:pPr>
        <w:pStyle w:val="FirstParagraph"/>
      </w:pPr>
      <w:r>
        <w:t xml:space="preserve">This setup anchors the notebook in the specific series used to examine</w:t>
      </w:r>
      <w:r>
        <w:t xml:space="preserve"> </w:t>
      </w:r>
      <w:r>
        <w:rPr>
          <w:rStyle w:val="VerbatimChar"/>
        </w:rPr>
        <w:t xml:space="preserve">hanct_kmeans(k)</w:t>
      </w:r>
      <w:r>
        <w:t xml:space="preserve">. The semantic point is the one stated above: k-means clustering anomaly detection: This approach applies k-means clustering to either points (</w:t>
      </w:r>
      <w:r>
        <w:rPr>
          <w:rStyle w:val="VerbatimChar"/>
        </w:rPr>
        <w:t xml:space="preserve">seq = 1</w:t>
      </w:r>
      <w:r>
        <w:t xml:space="preserve">) or sliding-window subsequences (</w:t>
      </w:r>
      <w:r>
        <w:rPr>
          <w:rStyle w:val="VerbatimChar"/>
        </w:rPr>
        <w:t xml:space="preserve">seq &gt; 1</w:t>
      </w:r>
      <w:r>
        <w:t xml:space="preserve">), so the raw signal needs to be visible before any fitting step hides that structure behind model output.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"https://raw.githubusercontent.com/cefet-rj-dal/harbinger/master/examples/seed.R"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 Harbinger (only once, if needed)</w:t>
      </w:r>
      <w:r>
        <w:br/>
      </w:r>
      <w:r>
        <w:rPr>
          <w:rStyle w:val="CommentTok"/>
        </w:rPr>
        <w:t xml:space="preserve">#install.packages("harbinger")</w:t>
      </w:r>
    </w:p>
    <w:p>
      <w:pPr>
        <w:pStyle w:val="SourceCode"/>
      </w:pPr>
      <w:r>
        <w:rPr>
          <w:rStyle w:val="CommentTok"/>
        </w:rPr>
        <w:t xml:space="preserve"># Load required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 </w:t>
      </w:r>
    </w:p>
    <w:p>
      <w:pPr>
        <w:pStyle w:val="SourceCode"/>
      </w:pPr>
      <w:r>
        <w:rPr>
          <w:rStyle w:val="CommentTok"/>
        </w:rPr>
        <w:t xml:space="preserve"># Load example datasets bundled with harbinger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(examples_anomalies)</w:t>
      </w:r>
    </w:p>
    <w:p>
      <w:pPr>
        <w:pStyle w:val="SourceCode"/>
      </w:pPr>
      <w:r>
        <w:rPr>
          <w:rStyle w:val="CommentTok"/>
        </w:rPr>
        <w:t xml:space="preserve"># Select a simple synthetic time series with labeled anomalies</w:t>
      </w:r>
      <w:r>
        <w:br/>
      </w:r>
      <w:r>
        <w:rPr>
          <w:rStyle w:val="NormalTok"/>
        </w:rPr>
        <w:t xml:space="preserve">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examples_anomalies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simple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(dataset)</w:t>
      </w:r>
    </w:p>
    <w:p>
      <w:pPr>
        <w:pStyle w:val="SourceCode"/>
      </w:pPr>
      <w:r>
        <w:rPr>
          <w:rStyle w:val="VerbatimChar"/>
        </w:rPr>
        <w:t xml:space="preserve">##       serie event</w:t>
      </w:r>
      <w:r>
        <w:br/>
      </w:r>
      <w:r>
        <w:rPr>
          <w:rStyle w:val="VerbatimChar"/>
        </w:rPr>
        <w:t xml:space="preserve">## 1 1.0000000 FALSE</w:t>
      </w:r>
      <w:r>
        <w:br/>
      </w:r>
      <w:r>
        <w:rPr>
          <w:rStyle w:val="VerbatimChar"/>
        </w:rPr>
        <w:t xml:space="preserve">## 2 0.9689124 FALSE</w:t>
      </w:r>
      <w:r>
        <w:br/>
      </w:r>
      <w:r>
        <w:rPr>
          <w:rStyle w:val="VerbatimChar"/>
        </w:rPr>
        <w:t xml:space="preserve">## 3 0.8775826 FALSE</w:t>
      </w:r>
      <w:r>
        <w:br/>
      </w:r>
      <w:r>
        <w:rPr>
          <w:rStyle w:val="VerbatimChar"/>
        </w:rPr>
        <w:t xml:space="preserve">## 4 0.7316889 FALSE</w:t>
      </w:r>
      <w:r>
        <w:br/>
      </w:r>
      <w:r>
        <w:rPr>
          <w:rStyle w:val="VerbatimChar"/>
        </w:rPr>
        <w:t xml:space="preserve">## 5 0.5403023 FALSE</w:t>
      </w:r>
      <w:r>
        <w:br/>
      </w:r>
      <w:r>
        <w:rPr>
          <w:rStyle w:val="VerbatimChar"/>
        </w:rPr>
        <w:t xml:space="preserve">## 6 0.3153224 FALSE</w:t>
      </w:r>
    </w:p>
    <w:bookmarkEnd w:id="11"/>
    <w:bookmarkStart w:id="15" w:name="interpret-the-result-visually"/>
    <w:p>
      <w:pPr>
        <w:pStyle w:val="Heading3"/>
      </w:pPr>
      <w:r>
        <w:t xml:space="preserve">Interpret the Result Visually</w:t>
      </w:r>
    </w:p>
    <w:p>
      <w:pPr>
        <w:pStyle w:val="FirstParagraph"/>
      </w:pPr>
      <w:r>
        <w:t xml:space="preserve">This first visual pass establishes what the method should react to in the raw series. Keep the method summary in mind here, because k-means clustering anomaly detection: This approach applies k-means clustering to either points (</w:t>
      </w:r>
      <w:r>
        <w:rPr>
          <w:rStyle w:val="VerbatimChar"/>
        </w:rPr>
        <w:t xml:space="preserve">seq = 1</w:t>
      </w:r>
      <w:r>
        <w:t xml:space="preserve">) or sliding-window subsequences (</w:t>
      </w:r>
      <w:r>
        <w:rPr>
          <w:rStyle w:val="VerbatimChar"/>
        </w:rPr>
        <w:t xml:space="preserve">seq &gt; 1</w:t>
      </w:r>
      <w:r>
        <w:t xml:space="preserve">) and the plot tells you whether that structure is clean, weak, local, repeated, or mixed with other effects.</w:t>
      </w:r>
    </w:p>
    <w:p>
      <w:pPr>
        <w:pStyle w:val="SourceCode"/>
      </w:pPr>
      <w:r>
        <w:rPr>
          <w:rStyle w:val="CommentTok"/>
        </w:rPr>
        <w:t xml:space="preserve"># Plot the time series</w:t>
      </w:r>
      <w:r>
        <w:br/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harbinger/examples/anomalies/doc/50-clustering-hanct_kmeans_anomaly_files/46fd22c5619288bab818a9b18590cffbd2d68ef6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16" w:name="configure-the-method"/>
    <w:p>
      <w:pPr>
        <w:pStyle w:val="Heading3"/>
      </w:pPr>
      <w:r>
        <w:t xml:space="preserve">Configure the Method</w:t>
      </w:r>
    </w:p>
    <w:p>
      <w:pPr>
        <w:pStyle w:val="FirstParagraph"/>
      </w:pPr>
      <w:r>
        <w:t xml:space="preserve">The choices below turn the central modeling idea into concrete parameters. They matter because k-means clustering anomaly detection: This approach applies k-means clustering to either points (</w:t>
      </w:r>
      <w:r>
        <w:rPr>
          <w:rStyle w:val="VerbatimChar"/>
        </w:rPr>
        <w:t xml:space="preserve">seq = 1</w:t>
      </w:r>
      <w:r>
        <w:t xml:space="preserve">) or sliding-window subsequences (</w:t>
      </w:r>
      <w:r>
        <w:rPr>
          <w:rStyle w:val="VerbatimChar"/>
        </w:rPr>
        <w:t xml:space="preserve">seq &gt; 1</w:t>
      </w:r>
      <w:r>
        <w:t xml:space="preserve">), so each argument controls how strongly the method will emphasize that pattern when it later produces cluster-based anomaly flags.</w:t>
      </w:r>
    </w:p>
    <w:p>
      <w:pPr>
        <w:pStyle w:val="SourceCode"/>
      </w:pPr>
      <w:r>
        <w:rPr>
          <w:rStyle w:val="CommentTok"/>
        </w:rPr>
        <w:t xml:space="preserve"># Define k-means anomaly detector (k controls number of clusters)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hanct_kmeans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Fit the model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bookmarkEnd w:id="16"/>
    <w:bookmarkStart w:id="17" w:name="run-the-core-analysis"/>
    <w:p>
      <w:pPr>
        <w:pStyle w:val="Heading3"/>
      </w:pPr>
      <w:r>
        <w:t xml:space="preserve">Run the Core Analysis</w:t>
      </w:r>
    </w:p>
    <w:p>
      <w:pPr>
        <w:pStyle w:val="FirstParagraph"/>
      </w:pPr>
      <w:r>
        <w:t xml:space="preserve">This is the moment where the notebook tests its central assumption on actual data. After applying</w:t>
      </w:r>
      <w:r>
        <w:t xml:space="preserve"> </w:t>
      </w:r>
      <w:r>
        <w:rPr>
          <w:rStyle w:val="VerbatimChar"/>
        </w:rPr>
        <w:t xml:space="preserve">hanct_kmeans(k)</w:t>
      </w:r>
      <w:r>
        <w:t xml:space="preserve">, the important question is whether the resulting cluster-based anomaly flags really correspond to the pattern implied by the method description above, rather than to arbitrary numerical variation.</w:t>
      </w:r>
    </w:p>
    <w:p>
      <w:pPr>
        <w:pStyle w:val="SourceCode"/>
      </w:pPr>
      <w:r>
        <w:rPr>
          <w:rStyle w:val="CommentTok"/>
        </w:rPr>
        <w:t xml:space="preserve"># Detect anomalies using k-means distances</w:t>
      </w:r>
      <w:r>
        <w:br/>
      </w:r>
      <w:r>
        <w:rPr>
          <w:rStyle w:val="NormalTok"/>
        </w:rPr>
        <w:t xml:space="preserve">  detection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detect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serie)</w:t>
      </w:r>
    </w:p>
    <w:p>
      <w:pPr>
        <w:pStyle w:val="SourceCode"/>
      </w:pPr>
      <w:r>
        <w:rPr>
          <w:rStyle w:val="CommentTok"/>
        </w:rPr>
        <w:t xml:space="preserve"># Show only timestamps flagged as events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(detection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(event</w:t>
      </w:r>
      <w:r>
        <w:rPr>
          <w:rStyle w:val="SpecialCharTok"/>
        </w:rPr>
        <w:t xml:space="preserve">==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  idx event    type</w:t>
      </w:r>
      <w:r>
        <w:br/>
      </w:r>
      <w:r>
        <w:rPr>
          <w:rStyle w:val="VerbatimChar"/>
        </w:rPr>
        <w:t xml:space="preserve">## 1  50  TRUE anomaly</w:t>
      </w:r>
    </w:p>
    <w:bookmarkEnd w:id="17"/>
    <w:bookmarkStart w:id="18" w:name="evaluate-what-was-found"/>
    <w:p>
      <w:pPr>
        <w:pStyle w:val="Heading3"/>
      </w:pPr>
      <w:r>
        <w:t xml:space="preserve">Evaluate What Was Found</w:t>
      </w:r>
    </w:p>
    <w:p>
      <w:pPr>
        <w:pStyle w:val="FirstParagraph"/>
      </w:pPr>
      <w:r>
        <w:t xml:space="preserve">The evaluation asks whether the cluster-based anomaly flags produced by</w:t>
      </w:r>
      <w:r>
        <w:t xml:space="preserve"> </w:t>
      </w:r>
      <w:r>
        <w:rPr>
          <w:rStyle w:val="VerbatimChar"/>
        </w:rPr>
        <w:t xml:space="preserve">hanct_kmeans(k)</w:t>
      </w:r>
      <w:r>
        <w:t xml:space="preserve"> </w:t>
      </w:r>
      <w:r>
        <w:t xml:space="preserve">match the labeled structure on this dataset. Read the scores as evidence about the method’s assumptions in practice, not as detached summary numbers.</w:t>
      </w:r>
    </w:p>
    <w:p>
      <w:pPr>
        <w:pStyle w:val="SourceCode"/>
      </w:pPr>
      <w:r>
        <w:rPr>
          <w:rStyle w:val="CommentTok"/>
        </w:rPr>
        <w:t xml:space="preserve"># Evaluate detections against ground-truth labels</w:t>
      </w:r>
      <w:r>
        <w:br/>
      </w:r>
      <w:r>
        <w:rPr>
          <w:rStyle w:val="NormalTok"/>
        </w:rPr>
        <w:t xml:space="preserve">  evaluation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detection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(evaluation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confMatrix)</w:t>
      </w:r>
    </w:p>
    <w:p>
      <w:pPr>
        <w:pStyle w:val="SourceCode"/>
      </w:pPr>
      <w:r>
        <w:rPr>
          <w:rStyle w:val="VerbatimChar"/>
        </w:rPr>
        <w:t xml:space="preserve">##           event      </w:t>
      </w:r>
      <w:r>
        <w:br/>
      </w:r>
      <w:r>
        <w:rPr>
          <w:rStyle w:val="VerbatimChar"/>
        </w:rPr>
        <w:t xml:space="preserve">## detection TRUE  FALSE</w:t>
      </w:r>
      <w:r>
        <w:br/>
      </w:r>
      <w:r>
        <w:rPr>
          <w:rStyle w:val="VerbatimChar"/>
        </w:rPr>
        <w:t xml:space="preserve">## TRUE      1     0    </w:t>
      </w:r>
      <w:r>
        <w:br/>
      </w:r>
      <w:r>
        <w:rPr>
          <w:rStyle w:val="VerbatimChar"/>
        </w:rPr>
        <w:t xml:space="preserve">## FALSE     0     100</w:t>
      </w:r>
    </w:p>
    <w:bookmarkEnd w:id="18"/>
    <w:bookmarkStart w:id="25" w:name="interpret-the-result-visually-1"/>
    <w:p>
      <w:pPr>
        <w:pStyle w:val="Heading3"/>
      </w:pPr>
      <w:r>
        <w:t xml:space="preserve">Interpret the Result Visually</w:t>
      </w:r>
    </w:p>
    <w:p>
      <w:pPr>
        <w:pStyle w:val="FirstParagraph"/>
      </w:pPr>
      <w:r>
        <w:t xml:space="preserve">This visual check puts the model output back on top of the original signal. What matters now is whether the highlighted cluster-based anomaly flags line up with the structure suggested by the method, which is the real semantic test of whether the example is teaching the right lesson.</w:t>
      </w:r>
    </w:p>
    <w:p>
      <w:pPr>
        <w:pStyle w:val="SourceCode"/>
      </w:pPr>
      <w:r>
        <w:rPr>
          <w:rStyle w:val="CommentTok"/>
        </w:rPr>
        <w:t xml:space="preserve"># Plot detections over the series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/home/gpca/harbinger/examples/anomalies/doc/50-clustering-hanct_kmeans_anomaly_files/afec30626f55b769805c4183d4f4a2d6dc033e5a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Plot residual scores and threshold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"res"</w:t>
      </w:r>
      <w:r>
        <w:rPr>
          <w:rStyle w:val="NormalTok"/>
        </w:rPr>
        <w:t xml:space="preserve">), detection, dataset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event, </w:t>
      </w:r>
      <w:r>
        <w:rPr>
          <w:rStyle w:val="AttributeTok"/>
        </w:rPr>
        <w:t xml:space="preserve">yline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(detection, </w:t>
      </w:r>
      <w:r>
        <w:rPr>
          <w:rStyle w:val="StringTok"/>
        </w:rPr>
        <w:t xml:space="preserve">"threshold"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/home/gpca/harbinger/examples/anomalies/doc/50-clustering-hanct_kmeans_anomaly_files/74656e25cb3eaea6476207790ddfcfbf5efcbafd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End w:id="26"/>
    <w:bookmarkStart w:id="28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Ogasawara, E., Salles, R., Porto, F., Pacitti, E. Event Detection in Time Series. 1st ed. Cham: Springer Nature Switzerland, 2025.</w:t>
      </w:r>
      <w:r>
        <w:t xml:space="preserve"> </w:t>
      </w:r>
      <w:hyperlink r:id="rId27">
        <w:r>
          <w:rPr>
            <w:rStyle w:val="Hyperlink"/>
          </w:rPr>
          <w:t xml:space="preserve">doi:10.1007/978-3-031-75941-3</w:t>
        </w:r>
      </w:hyperlink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2" Target="media/rId22.png" /><Relationship Type="http://schemas.openxmlformats.org/officeDocument/2006/relationships/image" Id="rId19" Target="media/rId19.png" /><Relationship Type="http://schemas.openxmlformats.org/officeDocument/2006/relationships/hyperlink" Id="rId27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2026-05-20T22:55:15Z</dcterms:created>
  <dcterms:modified xsi:type="dcterms:W3CDTF">2026-05-20T22:55:15Z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