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12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This Rmd demonstrates anomaly detection via a basic feed-forward autoencoder (</w:t>
      </w:r>
      <w:r>
        <w:rPr>
          <w:rStyle w:val="VerbatimChar"/>
        </w:rPr>
        <w:t xml:space="preserve">han_autoencoder(..., autoenc_ed, ...)</w:t>
      </w:r>
      <w:r>
        <w:t xml:space="preserve">). The model reconstructs the input window; high reconstruction error indicates anomalies. Steps: load packages/data, visualize, define the autoencoder (layers/epochs), fit, detect, evaluate, and plot series and residuals.</w:t>
      </w:r>
    </w:p>
    <w:bookmarkEnd w:id="9"/>
    <w:bookmarkStart w:id="10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Autoencoder (encode-decode): An autoencoder reconstructs sliding windows; large reconstruction errors indicate anomalies. This example uses a feed-forward encoder-decoder. Training minimizes reconstruction loss; detection thresholds use</w:t>
      </w:r>
      <w:r>
        <w:t xml:space="preserve"> </w:t>
      </w:r>
      <w:r>
        <w:rPr>
          <w:rStyle w:val="VerbatimChar"/>
        </w:rPr>
        <w:t xml:space="preserve">harutils()</w:t>
      </w:r>
      <w:r>
        <w:t xml:space="preserve">.</w:t>
      </w:r>
    </w:p>
    <w:bookmarkEnd w:id="10"/>
    <w:bookmarkStart w:id="26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1"/>
        </w:numPr>
      </w:pPr>
      <w:r>
        <w:t xml:space="preserve">understand the purpose of the example and when the technique is useful</w:t>
      </w:r>
    </w:p>
    <w:p>
      <w:pPr>
        <w:pStyle w:val="Compact"/>
        <w:numPr>
          <w:ilvl w:val="0"/>
          <w:numId w:val="1001"/>
        </w:numPr>
      </w:pPr>
      <w:r>
        <w:t xml:space="preserve">follow the workflow from data loading to model fitting and detection</w:t>
      </w:r>
    </w:p>
    <w:p>
      <w:pPr>
        <w:pStyle w:val="Compact"/>
        <w:numPr>
          <w:ilvl w:val="0"/>
          <w:numId w:val="1001"/>
        </w:numPr>
      </w:pPr>
      <w:r>
        <w:t xml:space="preserve">inspect the evaluation outputs and the diagnostic plots produced by Harbinger</w:t>
      </w:r>
    </w:p>
    <w:bookmarkStart w:id="11" w:name="prepare-the-example"/>
    <w:p>
      <w:pPr>
        <w:pStyle w:val="Heading3"/>
      </w:pPr>
      <w:r>
        <w:t xml:space="preserve">Prepare the Example</w:t>
      </w:r>
    </w:p>
    <w:p>
      <w:pPr>
        <w:pStyle w:val="FirstParagraph"/>
      </w:pPr>
      <w:r>
        <w:t xml:space="preserve">This setup anchors the notebook in the specific series used to examine</w:t>
      </w:r>
      <w:r>
        <w:t xml:space="preserve"> </w:t>
      </w:r>
      <w:r>
        <w:rPr>
          <w:rStyle w:val="VerbatimChar"/>
        </w:rPr>
        <w:t xml:space="preserve">han_autoencoder(..., autoenc_ed, ...)</w:t>
      </w:r>
      <w:r>
        <w:t xml:space="preserve">. The semantic point is the one stated above: autoencoder (encode-decode): An autoencoder reconstructs sliding windows; large reconstruction errors indicate anomalies, so the raw signal needs to be visible before any fitting step hides that structure behind model output.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"https://raw.githubusercontent.com/cefet-rj-dal/harbinger/master/examples/seed.R"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 Harbinger (only once, if needed)</w:t>
      </w:r>
      <w:r>
        <w:br/>
      </w:r>
      <w:r>
        <w:rPr>
          <w:rStyle w:val="CommentTok"/>
        </w:rPr>
        <w:t xml:space="preserve">#install.packages("harbinger")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(daltoolboxdp)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 </w:t>
      </w:r>
    </w:p>
    <w:p>
      <w:pPr>
        <w:pStyle w:val="SourceCode"/>
      </w:pPr>
      <w:r>
        <w:rPr>
          <w:rStyle w:val="CommentTok"/>
        </w:rPr>
        <w:t xml:space="preserve"># Load example datasets bundled with harbinger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(examples_anomalies)</w:t>
      </w:r>
    </w:p>
    <w:p>
      <w:pPr>
        <w:pStyle w:val="SourceCode"/>
      </w:pPr>
      <w:r>
        <w:rPr>
          <w:rStyle w:val="CommentTok"/>
        </w:rPr>
        <w:t xml:space="preserve"># Select a simple synthetic time series with labeled anomalies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examples_anomalies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simple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(dataset)</w:t>
      </w:r>
    </w:p>
    <w:p>
      <w:pPr>
        <w:pStyle w:val="SourceCode"/>
      </w:pPr>
      <w:r>
        <w:rPr>
          <w:rStyle w:val="VerbatimChar"/>
        </w:rPr>
        <w:t xml:space="preserve">##       serie event</w:t>
      </w:r>
      <w:r>
        <w:br/>
      </w:r>
      <w:r>
        <w:rPr>
          <w:rStyle w:val="VerbatimChar"/>
        </w:rPr>
        <w:t xml:space="preserve">## 1 1.0000000 FALSE</w:t>
      </w:r>
      <w:r>
        <w:br/>
      </w:r>
      <w:r>
        <w:rPr>
          <w:rStyle w:val="VerbatimChar"/>
        </w:rPr>
        <w:t xml:space="preserve">## 2 0.9689124 FALSE</w:t>
      </w:r>
      <w:r>
        <w:br/>
      </w:r>
      <w:r>
        <w:rPr>
          <w:rStyle w:val="VerbatimChar"/>
        </w:rPr>
        <w:t xml:space="preserve">## 3 0.8775826 FALSE</w:t>
      </w:r>
      <w:r>
        <w:br/>
      </w:r>
      <w:r>
        <w:rPr>
          <w:rStyle w:val="VerbatimChar"/>
        </w:rPr>
        <w:t xml:space="preserve">## 4 0.7316889 FALSE</w:t>
      </w:r>
      <w:r>
        <w:br/>
      </w:r>
      <w:r>
        <w:rPr>
          <w:rStyle w:val="VerbatimChar"/>
        </w:rPr>
        <w:t xml:space="preserve">## 5 0.5403023 FALSE</w:t>
      </w:r>
      <w:r>
        <w:br/>
      </w:r>
      <w:r>
        <w:rPr>
          <w:rStyle w:val="VerbatimChar"/>
        </w:rPr>
        <w:t xml:space="preserve">## 6 0.3153224 FALSE</w:t>
      </w:r>
    </w:p>
    <w:bookmarkEnd w:id="11"/>
    <w:bookmarkStart w:id="15" w:name="interpret-the-result-visually"/>
    <w:p>
      <w:pPr>
        <w:pStyle w:val="Heading3"/>
      </w:pPr>
      <w:r>
        <w:t xml:space="preserve">Interpret the Result Visually</w:t>
      </w:r>
    </w:p>
    <w:p>
      <w:pPr>
        <w:pStyle w:val="FirstParagraph"/>
      </w:pPr>
      <w:r>
        <w:t xml:space="preserve">This first visual pass establishes what the method should react to in the raw series. Keep the method summary in mind here, because autoencoder (encode-decode): An autoencoder reconstructs sliding windows; large reconstruction errors indicate anomalies and the plot tells you whether that structure is clean, weak, local, repeated, or mixed with other effects.</w:t>
      </w:r>
    </w:p>
    <w:p>
      <w:pPr>
        <w:pStyle w:val="SourceCode"/>
      </w:pPr>
      <w:r>
        <w:rPr>
          <w:rStyle w:val="CommentTok"/>
        </w:rPr>
        <w:t xml:space="preserve"># Plot the time series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harbinger/examples/anomalies/doc/80-autoencoder-han_autoenc_ed_files/46fd22c5619288bab818a9b18590cffbd2d68ef6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"/>
    <w:bookmarkStart w:id="16" w:name="configure-the-method"/>
    <w:p>
      <w:pPr>
        <w:pStyle w:val="Heading3"/>
      </w:pPr>
      <w:r>
        <w:t xml:space="preserve">Configure the Method</w:t>
      </w:r>
    </w:p>
    <w:p>
      <w:pPr>
        <w:pStyle w:val="FirstParagraph"/>
      </w:pPr>
      <w:r>
        <w:t xml:space="preserve">The choices below turn the central modeling idea into concrete parameters. They matter because autoencoder (encode-decode): An autoencoder reconstructs sliding windows; large reconstruction errors indicate anomalies, so each argument controls how strongly the method will emphasize that pattern when it later produces reconstruction-based anomaly flags.</w:t>
      </w:r>
    </w:p>
    <w:p>
      <w:pPr>
        <w:pStyle w:val="SourceCode"/>
      </w:pPr>
      <w:r>
        <w:rPr>
          <w:rStyle w:val="CommentTok"/>
        </w:rPr>
        <w:t xml:space="preserve"># Define autoencoder-based detector (autoenc_ed)</w:t>
      </w:r>
      <w:r>
        <w:br/>
      </w:r>
      <w:r>
        <w:rPr>
          <w:rStyle w:val="CommentTok"/>
        </w:rPr>
        <w:t xml:space="preserve"># - first/second args: encoder/decoder sizes; epochs: training epochs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han_autoencoder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autoenc_ed, </w:t>
      </w:r>
      <w:r>
        <w:rPr>
          <w:rStyle w:val="AttributeTok"/>
        </w:rPr>
        <w:t xml:space="preserve">epochs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Fit the model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bookmarkEnd w:id="16"/>
    <w:bookmarkStart w:id="17" w:name="run-the-core-analysis"/>
    <w:p>
      <w:pPr>
        <w:pStyle w:val="Heading3"/>
      </w:pPr>
      <w:r>
        <w:t xml:space="preserve">Run the Core Analysis</w:t>
      </w:r>
    </w:p>
    <w:p>
      <w:pPr>
        <w:pStyle w:val="FirstParagraph"/>
      </w:pPr>
      <w:r>
        <w:t xml:space="preserve">This is the moment where the notebook tests its central assumption on actual data. After applying</w:t>
      </w:r>
      <w:r>
        <w:t xml:space="preserve"> </w:t>
      </w:r>
      <w:r>
        <w:rPr>
          <w:rStyle w:val="VerbatimChar"/>
        </w:rPr>
        <w:t xml:space="preserve">han_autoencoder(..., autoenc_ed, ...)</w:t>
      </w:r>
      <w:r>
        <w:t xml:space="preserve">, the important question is whether the resulting reconstruction-based anomaly flags really correspond to the pattern implied by the method description above, rather than to arbitrary numerical variation.</w:t>
      </w:r>
    </w:p>
    <w:p>
      <w:pPr>
        <w:pStyle w:val="SourceCode"/>
      </w:pPr>
      <w:r>
        <w:rPr>
          <w:rStyle w:val="CommentTok"/>
        </w:rPr>
        <w:t xml:space="preserve"># Detect anomalies (reconstruction error -&gt; events)</w:t>
      </w:r>
      <w:r>
        <w:br/>
      </w:r>
      <w:r>
        <w:rPr>
          <w:rStyle w:val="NormalTok"/>
        </w:rPr>
        <w:t xml:space="preserve">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Show only timestamps flagged as events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</w:t>
      </w:r>
      <w:r>
        <w:rPr>
          <w:rStyle w:val="SpecialCharTok"/>
        </w:rPr>
        <w:t xml:space="preserve">==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idx event    type</w:t>
      </w:r>
      <w:r>
        <w:br/>
      </w:r>
      <w:r>
        <w:rPr>
          <w:rStyle w:val="VerbatimChar"/>
        </w:rPr>
        <w:t xml:space="preserve">## 1  51  TRUE anomaly</w:t>
      </w:r>
    </w:p>
    <w:bookmarkEnd w:id="17"/>
    <w:bookmarkStart w:id="18" w:name="evaluate-what-was-found"/>
    <w:p>
      <w:pPr>
        <w:pStyle w:val="Heading3"/>
      </w:pPr>
      <w:r>
        <w:t xml:space="preserve">Evaluate What Was Found</w:t>
      </w:r>
    </w:p>
    <w:p>
      <w:pPr>
        <w:pStyle w:val="FirstParagraph"/>
      </w:pPr>
      <w:r>
        <w:t xml:space="preserve">The evaluation asks whether the reconstruction-based anomaly flags produced by</w:t>
      </w:r>
      <w:r>
        <w:t xml:space="preserve"> </w:t>
      </w:r>
      <w:r>
        <w:rPr>
          <w:rStyle w:val="VerbatimChar"/>
        </w:rPr>
        <w:t xml:space="preserve">han_autoencoder(..., autoenc_ed, ...)</w:t>
      </w:r>
      <w:r>
        <w:t xml:space="preserve"> </w:t>
      </w:r>
      <w:r>
        <w:t xml:space="preserve">match the labeled structure on this dataset. Read the scores as evidence about the method’s assumptions in practice, not as detached summary numbers.</w:t>
      </w:r>
    </w:p>
    <w:p>
      <w:pPr>
        <w:pStyle w:val="SourceCode"/>
      </w:pPr>
      <w:r>
        <w:rPr>
          <w:rStyle w:val="CommentTok"/>
        </w:rPr>
        <w:t xml:space="preserve"># Evaluate detections against ground-truth labels</w:t>
      </w:r>
      <w:r>
        <w:br/>
      </w:r>
      <w:r>
        <w:rPr>
          <w:rStyle w:val="NormalTok"/>
        </w:rPr>
        <w:t xml:space="preserve">  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0     1    </w:t>
      </w:r>
      <w:r>
        <w:br/>
      </w:r>
      <w:r>
        <w:rPr>
          <w:rStyle w:val="VerbatimChar"/>
        </w:rPr>
        <w:t xml:space="preserve">## FALSE     1     99</w:t>
      </w:r>
    </w:p>
    <w:bookmarkEnd w:id="18"/>
    <w:bookmarkStart w:id="25" w:name="interpret-the-result-visually-1"/>
    <w:p>
      <w:pPr>
        <w:pStyle w:val="Heading3"/>
      </w:pPr>
      <w:r>
        <w:t xml:space="preserve">Interpret the Result Visually</w:t>
      </w:r>
    </w:p>
    <w:p>
      <w:pPr>
        <w:pStyle w:val="FirstParagraph"/>
      </w:pPr>
      <w:r>
        <w:t xml:space="preserve">This visual check puts the model output back on top of the original signal. What matters now is whether the highlighted reconstruction-based anomaly flags line up with the structure suggested by the method, which is the real semantic test of whether the example is teaching the right lesson.</w:t>
      </w:r>
    </w:p>
    <w:p>
      <w:pPr>
        <w:pStyle w:val="SourceCode"/>
      </w:pPr>
      <w:r>
        <w:rPr>
          <w:rStyle w:val="CommentTok"/>
        </w:rPr>
        <w:t xml:space="preserve"># Plot detections over the series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/home/gpca/harbinger/examples/anomalies/doc/80-autoencoder-han_autoenc_ed_files/aab29680e33d49cf894c5bdb4624784df26b0086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Plot residual scores and threshold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"res"</w:t>
      </w:r>
      <w:r>
        <w:rPr>
          <w:rStyle w:val="NormalTok"/>
        </w:rPr>
        <w:t xml:space="preserve">),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AttributeTok"/>
        </w:rPr>
        <w:t xml:space="preserve">yline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/home/gpca/harbinger/examples/anomalies/doc/80-autoencoder-han_autoenc_ed_files/244f5b708c9c720ab4a8bb71747c5540d2bc3e5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End w:id="26"/>
    <w:bookmarkStart w:id="27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Sakurada, M., Yairi, T. (2014). Anomaly Detection Using Autoencoders with Nonlinear Dimensionality Reduction. MLSDA 2014.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12" Target="media/rId12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2026-05-20T22:55:29Z</dcterms:created>
  <dcterms:modified xsi:type="dcterms:W3CDTF">2026-05-20T22:55:29Z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