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1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. The semantic point is the one stated above: denoise Autoencoder (encode-decode): A denoising autoencoder reconstructs clean inputs from noisy windows, improving robustness,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NormalTok"/>
        </w:rPr>
        <w:t xml:space="preserve">python_available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"reticulate"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py_available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eval =</w:t>
      </w:r>
      <w:r>
        <w:rPr>
          <w:rStyle w:val="NormalTok"/>
        </w:rPr>
        <w:t xml:space="preserve"> python_available)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bookmarkEnd w:id="11"/>
    <w:bookmarkStart w:id="12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denoise Autoencoder (encode-decode): A denoising autoencoder reconstructs clean inputs from noisy windows, improving robustness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2"/>
    <w:bookmarkStart w:id="1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denoise Autoencoder (encode-decode): A denoising autoencoder reconstructs clean inputs from noisy windows, improving robustness,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3"/>
    <w:bookmarkStart w:id="14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bookmarkEnd w:id="14"/>
    <w:bookmarkStart w:id="15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bookmarkEnd w:id="15"/>
    <w:bookmarkStart w:id="1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bookmarkEnd w:id="16"/>
    <w:bookmarkEnd w:id="17"/>
    <w:bookmarkStart w:id="1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2026-05-07T21:12:16Z</dcterms:created>
  <dcterms:modified xsi:type="dcterms:W3CDTF">2026-05-07T21:12:16Z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