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goal of this notebook is to present a complete Harbinger workflow: loading an example dataset, configuring the method used in the notebook, running the analysis, and interpreting the resulting outputs and plots.</w:t>
      </w:r>
    </w:p>
    <w:bookmarkEnd w:id="9"/>
    <w:bookmarkStart w:id="10" w:name="method-at-a-glance"/>
    <w:p>
      <w:pPr>
        <w:pStyle w:val="Heading2"/>
      </w:pPr>
      <w:r>
        <w:t xml:space="preserve">Method at a glance</w:t>
      </w:r>
    </w:p>
    <w:p>
      <w:pPr>
        <w:pStyle w:val="FirstParagraph"/>
      </w:pPr>
      <w:r>
        <w:t xml:space="preserve">This notebook demonstrates Harbinger utility distance functions for summarizing residual magnitudes (L1 and L2) and plotting results for quick inspection. L1 emphasizes robustness to outliers; L2 emphasizes larger deviations. These aggregations feed subsequent thresholding/outlier rules in the detection pipeline.</w:t>
      </w:r>
    </w:p>
    <w:bookmarkEnd w:id="10"/>
    <w:bookmarkStart w:id="1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harutils()</w:t>
      </w:r>
      <w:r>
        <w:t xml:space="preserve">. The semantic point is the one stated above: this notebook demonstrates Harbinger utility distance functions for summarizing residual magnitudes (L1 and L2) and plotting results for quick inspection,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Instantiate utilities</w:t>
      </w:r>
      <w:r>
        <w:br/>
      </w:r>
      <w:r>
        <w:rPr>
          <w:rStyle w:val="NormalTok"/>
        </w:rPr>
        <w:t xml:space="preserve">hutils </w:t>
      </w:r>
      <w:r>
        <w:rPr>
          <w:rStyle w:val="OtherTok"/>
        </w:rPr>
        <w:t xml:space="preserve">&lt;-</w:t>
      </w:r>
      <w:r>
        <w:rPr>
          <w:rStyle w:val="NormalTok"/>
        </w:rPr>
        <w:t xml:space="preserve"> </w:t>
      </w:r>
      <w:r>
        <w:rPr>
          <w:rStyle w:val="FunctionTok"/>
        </w:rPr>
        <w:t xml:space="preserve">harutils</w:t>
      </w:r>
      <w:r>
        <w:rPr>
          <w:rStyle w:val="NormalTok"/>
        </w:rPr>
        <w:t xml:space="preserve">()</w:t>
      </w:r>
    </w:p>
    <w:p>
      <w:pPr>
        <w:pStyle w:val="SourceCode"/>
      </w:pPr>
      <w:r>
        <w:rPr>
          <w:rStyle w:val="CommentTok"/>
        </w:rPr>
        <w:t xml:space="preserve"># Generate synthetic residuals</w:t>
      </w:r>
      <w:r>
        <w:br/>
      </w:r>
      <w:r>
        <w:rPr>
          <w:rStyle w:val="NormalTok"/>
        </w:rPr>
        <w:t xml:space="preserve">values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30</w:t>
      </w:r>
      <w:r>
        <w:rPr>
          <w:rStyle w:val="NormalTok"/>
        </w:rPr>
        <w:t xml:space="preserve">,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p>
    <w:bookmarkEnd w:id="11"/>
    <w:bookmarkStart w:id="18"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this notebook demonstrates Harbinger utility distance functions for summarizing residual magnitudes (L1 and L2) and plotting results for quick inspection and the plot tells you whether that structure is clean, weak, local, repeated, or mixed with other effects.</w:t>
      </w:r>
    </w:p>
    <w:p>
      <w:pPr>
        <w:pStyle w:val="SourceCode"/>
      </w:pPr>
      <w:r>
        <w:rPr>
          <w:rStyle w:val="CommentTok"/>
        </w:rPr>
        <w:t xml:space="preserve"># L1 aggregation of residual magnitude</w:t>
      </w:r>
      <w:r>
        <w:br/>
      </w:r>
      <w:r>
        <w:rPr>
          <w:rStyle w:val="NormalTok"/>
        </w:rPr>
        <w:t xml:space="preserve">v1 </w:t>
      </w:r>
      <w:r>
        <w:rPr>
          <w:rStyle w:val="OtherTok"/>
        </w:rPr>
        <w:t xml:space="preserve">&lt;-</w:t>
      </w:r>
      <w:r>
        <w:rPr>
          <w:rStyle w:val="NormalTok"/>
        </w:rPr>
        <w:t xml:space="preserve"> hutils</w:t>
      </w:r>
      <w:r>
        <w:rPr>
          <w:rStyle w:val="SpecialCharTok"/>
        </w:rPr>
        <w:t xml:space="preserve">$</w:t>
      </w:r>
      <w:r>
        <w:rPr>
          <w:rStyle w:val="FunctionTok"/>
        </w:rPr>
        <w:t xml:space="preserve">har_distance_l1</w:t>
      </w:r>
      <w:r>
        <w:rPr>
          <w:rStyle w:val="NormalTok"/>
        </w:rPr>
        <w:t xml:space="preserve">(values)</w:t>
      </w:r>
      <w:r>
        <w:br/>
      </w:r>
      <w:r>
        <w:rPr>
          <w:rStyle w:val="FunctionTok"/>
        </w:rPr>
        <w:t xml:space="preserve">har_plot</w:t>
      </w:r>
      <w:r>
        <w:rPr>
          <w:rStyle w:val="NormalTok"/>
        </w:rPr>
        <w:t xml:space="preserve">(</w:t>
      </w:r>
      <w:r>
        <w:rPr>
          <w:rStyle w:val="FunctionTok"/>
        </w:rPr>
        <w:t xml:space="preserve">harbinger</w:t>
      </w:r>
      <w:r>
        <w:rPr>
          <w:rStyle w:val="NormalTok"/>
        </w:rPr>
        <w:t xml:space="preserve">(), v1)</w:t>
      </w:r>
    </w:p>
    <w:p>
      <w:pPr>
        <w:pStyle w:val="FirstParagraph"/>
      </w:pPr>
      <w:r>
        <w:drawing>
          <wp:inline>
            <wp:extent cx="4620126" cy="3696101"/>
            <wp:effectExtent b="0" l="0" r="0" t="0"/>
            <wp:docPr descr="" title="" id="13" name="Picture"/>
            <a:graphic>
              <a:graphicData uri="http://schemas.openxmlformats.org/drawingml/2006/picture">
                <pic:pic>
                  <pic:nvPicPr>
                    <pic:cNvPr descr="C:\Git\dal\harbinger\examples\general\doc\05-utilities-examples_harutils_distance_files/0e7aac444db4e0b26c4ce461d2000c47adedc955.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L2 aggregation of residual magnitude</w:t>
      </w:r>
      <w:r>
        <w:br/>
      </w:r>
      <w:r>
        <w:rPr>
          <w:rStyle w:val="NormalTok"/>
        </w:rPr>
        <w:t xml:space="preserve">v2 </w:t>
      </w:r>
      <w:r>
        <w:rPr>
          <w:rStyle w:val="OtherTok"/>
        </w:rPr>
        <w:t xml:space="preserve">&lt;-</w:t>
      </w:r>
      <w:r>
        <w:rPr>
          <w:rStyle w:val="NormalTok"/>
        </w:rPr>
        <w:t xml:space="preserve"> hutils</w:t>
      </w:r>
      <w:r>
        <w:rPr>
          <w:rStyle w:val="SpecialCharTok"/>
        </w:rPr>
        <w:t xml:space="preserve">$</w:t>
      </w:r>
      <w:r>
        <w:rPr>
          <w:rStyle w:val="FunctionTok"/>
        </w:rPr>
        <w:t xml:space="preserve">har_distance_l2</w:t>
      </w:r>
      <w:r>
        <w:rPr>
          <w:rStyle w:val="NormalTok"/>
        </w:rPr>
        <w:t xml:space="preserve">(values)</w:t>
      </w:r>
      <w:r>
        <w:br/>
      </w:r>
      <w:r>
        <w:rPr>
          <w:rStyle w:val="FunctionTok"/>
        </w:rPr>
        <w:t xml:space="preserve">har_plot</w:t>
      </w:r>
      <w:r>
        <w:rPr>
          <w:rStyle w:val="NormalTok"/>
        </w:rPr>
        <w:t xml:space="preserve">(</w:t>
      </w:r>
      <w:r>
        <w:rPr>
          <w:rStyle w:val="FunctionTok"/>
        </w:rPr>
        <w:t xml:space="preserve">harbinger</w:t>
      </w:r>
      <w:r>
        <w:rPr>
          <w:rStyle w:val="NormalTok"/>
        </w:rPr>
        <w:t xml:space="preserve">(), v2)</w:t>
      </w:r>
    </w:p>
    <w:p>
      <w:pPr>
        <w:pStyle w:val="FirstParagraph"/>
      </w:pPr>
      <w:r>
        <w:drawing>
          <wp:inline>
            <wp:extent cx="4620126" cy="3696101"/>
            <wp:effectExtent b="0" l="0" r="0" t="0"/>
            <wp:docPr descr="" title="" id="16" name="Picture"/>
            <a:graphic>
              <a:graphicData uri="http://schemas.openxmlformats.org/drawingml/2006/picture">
                <pic:pic>
                  <pic:nvPicPr>
                    <pic:cNvPr descr="C:\Git\dal\harbinger\examples\general\doc\05-utilities-examples_harutils_distance_files/1b687f808c2838a3e78cee3488cc62d3d50dd56e.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bookmarkEnd w:id="18"/>
    <w:bookmarkEnd w:id="19"/>
    <w:bookmarkStart w:id="20" w:name="references"/>
    <w:p>
      <w:pPr>
        <w:pStyle w:val="Heading2"/>
      </w:pPr>
      <w:r>
        <w:t xml:space="preserve">References</w:t>
      </w:r>
    </w:p>
    <w:p>
      <w:pPr>
        <w:pStyle w:val="Compact"/>
        <w:numPr>
          <w:ilvl w:val="0"/>
          <w:numId w:val="1002"/>
        </w:numPr>
      </w:pPr>
      <w:r>
        <w:t xml:space="preserve">Tukey, J. W. (1977). Exploratory Data Analysis. Addison-Wesley. (IQR/boxplot heuristics underpin some thresholding rules)</w:t>
      </w:r>
    </w:p>
    <w:p>
      <w:pPr>
        <w:pStyle w:val="Compact"/>
        <w:numPr>
          <w:ilvl w:val="0"/>
          <w:numId w:val="1002"/>
        </w:numPr>
      </w:pPr>
      <w:r>
        <w:t xml:space="preserve">Shewhart, W. A. (1931). Economic Control of Quality of Manufactured Product. D. Van Nostrand. (three-sigma rule)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2026-05-07T21:13:07Z</dcterms:created>
  <dcterms:modified xsi:type="dcterms:W3CDTF">2026-05-07T21:13:07Z</dcterms:modified>
</cp:coreProperties>
</file>

<file path=docProps/custom.xml><?xml version="1.0" encoding="utf-8"?>
<Properties xmlns="http://schemas.openxmlformats.org/officeDocument/2006/custom-properties" xmlns:vt="http://schemas.openxmlformats.org/officeDocument/2006/docPropsVTypes"/>
</file>