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demonstrates anomaly detection with</w:t>
      </w:r>
      <w:r>
        <w:t xml:space="preserve"> </w:t>
      </w:r>
      <w:r>
        <w:rPr>
          <w:rStyle w:val="VerbatimChar"/>
        </w:rPr>
        <w:t xml:space="preserve">hanr_histogram()</w:t>
      </w:r>
      <w:r>
        <w:t xml:space="preserve">. The goal is to show how a simple histogram-based density rule can flag rare observations without fitting a forecasting model.</w:t>
      </w:r>
    </w:p>
    <w:bookmarkEnd w:id="9"/>
    <w:bookmarkStart w:id="10" w:name="method-at-a-glance"/>
    <w:p>
      <w:pPr>
        <w:pStyle w:val="Heading2"/>
      </w:pPr>
      <w:r>
        <w:t xml:space="preserve">Method at a glance</w:t>
      </w:r>
    </w:p>
    <w:p>
      <w:pPr>
        <w:pStyle w:val="FirstParagraph"/>
      </w:pPr>
      <w:r>
        <w:rPr>
          <w:rStyle w:val="VerbatimChar"/>
        </w:rPr>
        <w:t xml:space="preserve">hanr_histogram()</w:t>
      </w:r>
      <w:r>
        <w:t xml:space="preserve"> </w:t>
      </w:r>
      <w:r>
        <w:t xml:space="preserve">builds a histogram of the observed values and labels points as anomalies when they fall into low-density bins or outside the observed bin range. It is a useful baseline because it focuses only on the empirical distribution of the series.</w:t>
      </w:r>
    </w:p>
    <w:bookmarkEnd w:id="10"/>
    <w:bookmarkStart w:id="23" w:name="what-you-will-do"/>
    <w:p>
      <w:pPr>
        <w:pStyle w:val="Heading2"/>
      </w:pPr>
      <w:r>
        <w:t xml:space="preserve">What you will do</w:t>
      </w:r>
    </w:p>
    <w:p>
      <w:pPr>
        <w:pStyle w:val="Compact"/>
        <w:numPr>
          <w:ilvl w:val="0"/>
          <w:numId w:val="1001"/>
        </w:numPr>
      </w:pPr>
      <w:r>
        <w:t xml:space="preserve">load a labeled anomaly dataset from Harbinger</w:t>
      </w:r>
    </w:p>
    <w:p>
      <w:pPr>
        <w:pStyle w:val="Compact"/>
        <w:numPr>
          <w:ilvl w:val="0"/>
          <w:numId w:val="1001"/>
        </w:numPr>
      </w:pPr>
      <w:r>
        <w:t xml:space="preserve">inspect the raw series before modeling</w:t>
      </w:r>
    </w:p>
    <w:p>
      <w:pPr>
        <w:pStyle w:val="Compact"/>
        <w:numPr>
          <w:ilvl w:val="0"/>
          <w:numId w:val="1001"/>
        </w:numPr>
      </w:pPr>
      <w:r>
        <w:t xml:space="preserve">configure the histogram detector and run detection</w:t>
      </w:r>
    </w:p>
    <w:p>
      <w:pPr>
        <w:pStyle w:val="Compact"/>
        <w:numPr>
          <w:ilvl w:val="0"/>
          <w:numId w:val="1001"/>
        </w:numPr>
      </w:pPr>
      <w:r>
        <w:t xml:space="preserve">compare the detected events with the ground truth</w:t>
      </w:r>
    </w:p>
    <w:p>
      <w:pPr>
        <w:pStyle w:val="Compact"/>
        <w:numPr>
          <w:ilvl w:val="0"/>
          <w:numId w:val="1001"/>
        </w:numPr>
      </w:pPr>
      <w:r>
        <w:t xml:space="preserve">visualize the result with</w:t>
      </w:r>
      <w:r>
        <w:t xml:space="preserve"> </w:t>
      </w:r>
      <w:r>
        <w:rPr>
          <w:rStyle w:val="VerbatimChar"/>
        </w:rPr>
        <w:t xml:space="preserve">har_plot()</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hanr_histogram()</w:t>
      </w:r>
      <w:r>
        <w:t xml:space="preserve">. The semantic point is the one stated above:</w:t>
      </w:r>
      <w:r>
        <w:t xml:space="preserve"> </w:t>
      </w:r>
      <w:r>
        <w:rPr>
          <w:rStyle w:val="VerbatimChar"/>
        </w:rPr>
        <w:t xml:space="preserve">hanr_histogram()</w:t>
      </w:r>
      <w:r>
        <w:t xml:space="preserve"> </w:t>
      </w:r>
      <w:r>
        <w:t xml:space="preserve">builds a histogram of the observed values and labels points as anomalies when they fall into low-density bins or outside the observed bin range,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a simple anomaly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w:t>
      </w:r>
      <w:r>
        <w:t xml:space="preserve"> </w:t>
      </w:r>
      <w:r>
        <w:rPr>
          <w:rStyle w:val="VerbatimChar"/>
        </w:rPr>
        <w:t xml:space="preserve">hanr_histogram()</w:t>
      </w:r>
      <w:r>
        <w:t xml:space="preserve"> </w:t>
      </w:r>
      <w:r>
        <w:t xml:space="preserve">builds a histogram of the observed values and labels points as anomalies when they fall into low-density bins or outside the observed bin range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 </w:t>
      </w:r>
      <w:r>
        <w:rPr>
          <w:rStyle w:val="AttributeTok"/>
        </w:rPr>
        <w:t xml:space="preserve">event =</w:t>
      </w:r>
      <w:r>
        <w:rPr>
          <w:rStyle w:val="NormalTok"/>
        </w:rPr>
        <w:t xml:space="preserve">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01-baseline-hanr_histogram_files/340145a6a24854a6c9b3bc33d675594d5fc00a7e.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w:t>
      </w:r>
      <w:r>
        <w:t xml:space="preserve"> </w:t>
      </w:r>
      <w:r>
        <w:rPr>
          <w:rStyle w:val="VerbatimChar"/>
        </w:rPr>
        <w:t xml:space="preserve">hanr_histogram()</w:t>
      </w:r>
      <w:r>
        <w:t xml:space="preserve"> </w:t>
      </w:r>
      <w:r>
        <w:t xml:space="preserve">builds a histogram of the observed values and labels points as anomalies when they fall into low-density bins or outside the observed bin range, so each argument controls how strongly the method will emphasize that pattern when it later produces anomaly flags.</w:t>
      </w:r>
    </w:p>
    <w:p>
      <w:pPr>
        <w:pStyle w:val="SourceCode"/>
      </w:pPr>
      <w:r>
        <w:rPr>
          <w:rStyle w:val="CommentTok"/>
        </w:rPr>
        <w:t xml:space="preserve"># Configure the histogram-based anomaly detector</w:t>
      </w:r>
      <w:r>
        <w:br/>
      </w:r>
      <w:r>
        <w:rPr>
          <w:rStyle w:val="CommentTok"/>
        </w:rPr>
        <w:t xml:space="preserve"># The density threshold controls how rare a bin must be to trigger an anomaly</w:t>
      </w:r>
      <w:r>
        <w:br/>
      </w:r>
      <w:r>
        <w:rPr>
          <w:rStyle w:val="NormalTok"/>
        </w:rPr>
        <w:t xml:space="preserve">model </w:t>
      </w:r>
      <w:r>
        <w:rPr>
          <w:rStyle w:val="OtherTok"/>
        </w:rPr>
        <w:t xml:space="preserve">&lt;-</w:t>
      </w:r>
      <w:r>
        <w:rPr>
          <w:rStyle w:val="NormalTok"/>
        </w:rPr>
        <w:t xml:space="preserve"> </w:t>
      </w:r>
      <w:r>
        <w:rPr>
          <w:rStyle w:val="FunctionTok"/>
        </w:rPr>
        <w:t xml:space="preserve">hanr_histogram</w:t>
      </w:r>
      <w:r>
        <w:rPr>
          <w:rStyle w:val="NormalTok"/>
        </w:rPr>
        <w:t xml:space="preserve">(</w:t>
      </w:r>
      <w:r>
        <w:rPr>
          <w:rStyle w:val="AttributeTok"/>
        </w:rPr>
        <w:t xml:space="preserve">density_threshold =</w:t>
      </w:r>
      <w:r>
        <w:rPr>
          <w:rStyle w:val="NormalTok"/>
        </w:rPr>
        <w:t xml:space="preserve"> </w:t>
      </w:r>
      <w:r>
        <w:rPr>
          <w:rStyle w:val="FloatTok"/>
        </w:rPr>
        <w:t xml:space="preserve">0.05</w:t>
      </w:r>
      <w:r>
        <w:rPr>
          <w:rStyle w:val="NormalTok"/>
        </w:rPr>
        <w:t xml:space="preserve">)</w:t>
      </w:r>
    </w:p>
    <w:p>
      <w:pPr>
        <w:pStyle w:val="SourceCode"/>
      </w:pPr>
      <w:r>
        <w:rPr>
          <w:rStyle w:val="CommentTok"/>
        </w:rPr>
        <w:t xml:space="preserve"># Fit is a no-op here, but keeping the same workflow is useful for comparison</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hanr_histogram()</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Run detection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the detected anomaly indices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1  TRUE anomaly</w:t>
      </w:r>
      <w:r>
        <w:br/>
      </w:r>
      <w:r>
        <w:rPr>
          <w:rStyle w:val="VerbatimChar"/>
        </w:rPr>
        <w:t xml:space="preserve">## 2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hanr_histogram()</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the labeled events</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1    </w:t>
      </w:r>
      <w:r>
        <w:br/>
      </w:r>
      <w:r>
        <w:rPr>
          <w:rStyle w:val="VerbatimChar"/>
        </w:rPr>
        <w:t xml:space="preserve">## FALSE     0     99</w:t>
      </w:r>
    </w:p>
    <w:bookmarkEnd w:id="18"/>
    <w:bookmarkStart w:id="22"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and ground truth on the same series</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01-baseline-hanr_histogram_files/83aab48e742fdb8b440062d29e5c414efba7daad.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bookmarkEnd w:id="22"/>
    <w:bookmarkEnd w:id="23"/>
    <w:bookmarkStart w:id="25" w:name="references"/>
    <w:p>
      <w:pPr>
        <w:pStyle w:val="Heading2"/>
      </w:pPr>
      <w:r>
        <w:t xml:space="preserve">References</w:t>
      </w:r>
    </w:p>
    <w:p>
      <w:pPr>
        <w:pStyle w:val="Compact"/>
        <w:numPr>
          <w:ilvl w:val="0"/>
          <w:numId w:val="1002"/>
        </w:numPr>
      </w:pPr>
      <w:r>
        <w:t xml:space="preserve">Ogasawara, E., Salles, R., Porto, F., Pacitti, E. Event Detection in Time Series. Springer, 2025.</w:t>
      </w:r>
      <w:r>
        <w:t xml:space="preserve"> </w:t>
      </w:r>
      <w:hyperlink r:id="rId24">
        <w:r>
          <w:rPr>
            <w:rStyle w:val="Hyperlink"/>
          </w:rPr>
          <w:t xml:space="preserve">doi:10.1007/978-3-031-75941-3</w:t>
        </w:r>
      </w:hyperlink>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hyperlink" Id="rId24" Target="doi:10.1007/978-3-031-75941-3" TargetMode="External" /></Relationships>
</file>

<file path=word/_rels/footnotes.xml.rels><?xml version="1.0" encoding="UTF-8"?><Relationships xmlns="http://schemas.openxmlformats.org/package/2006/relationships"><Relationship Type="http://schemas.openxmlformats.org/officeDocument/2006/relationships/hyperlink" Id="rId24" Target="doi:10.1007/978-3-031-7594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2026-07-08T22:33:06Z</dcterms:created>
  <dcterms:modified xsi:type="dcterms:W3CDTF">2026-07-08T22:33:06Z</dcterms:modified>
</cp:coreProperties>
</file>

<file path=docProps/custom.xml><?xml version="1.0" encoding="utf-8"?>
<Properties xmlns="http://schemas.openxmlformats.org/officeDocument/2006/custom-properties" xmlns:vt="http://schemas.openxmlformats.org/officeDocument/2006/docPropsVTypes"/>
</file>