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9"/>
    <w:bookmarkStart w:id="10"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71-ensemble-hanr_ensemble_fuzzy</w:t>
      </w:r>
      <w:r>
        <w:t xml:space="preserve">. The semantic point is the one stated above: ensemble Fuzzy anomaly detection: Ensemble voting with temporal fuzzification merges detections within a tolerance window into a single event before voting, reducing duplicate triggers and aligning with ground-truth granularity,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Fuzzy anomaly detection: Ensemble voting with temporal fuzzification merges detections within a tolerance window into a single event before voting, reducing duplicate triggers and aligning with ground-truth granularity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71-ensemble-hanr_ensemble_fuzzy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Fuzzy anomaly detection: Ensemble voting with temporal fuzzification merges detections within a tolerance window into a single event before voting, reducing duplicate triggers and aligning with ground-truth granularity, so each argument controls how strongly the method will emphasize that pattern when it later produces ensemble anomaly flags.</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71-ensemble-hanr_ensemble_fuzzy</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71-ensemble-hanr_ensemble_fuzzy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71-ensemble-hanr_ensemble_fuzzy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71-ensemble-hanr_ensemble_fuzzy_files/89016ce74e5503cf480de3778b997a66905a148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2026-07-08T22:34:33Z</dcterms:created>
  <dcterms:modified xsi:type="dcterms:W3CDTF">2026-07-08T22:34:33Z</dcterms:modified>
</cp:coreProperties>
</file>

<file path=docProps/custom.xml><?xml version="1.0" encoding="utf-8"?>
<Properties xmlns="http://schemas.openxmlformats.org/officeDocument/2006/custom-properties" xmlns:vt="http://schemas.openxmlformats.org/officeDocument/2006/docPropsVTypes"/>
</file>