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AMOC (At Most One Change) detects a single, most significant change point in a univariate time series. In this tutorial we will:</w:t>
      </w:r>
    </w:p>
    <w:p>
      <w:pPr>
        <w:pStyle w:val="Compact"/>
        <w:numPr>
          <w:ilvl w:val="0"/>
          <w:numId w:val="1001"/>
        </w:numPr>
      </w:pPr>
      <w:r>
        <w:t xml:space="preserve">Load a synthetic dataset with ground-truth change points</w:t>
      </w:r>
    </w:p>
    <w:p>
      <w:pPr>
        <w:pStyle w:val="Compact"/>
        <w:numPr>
          <w:ilvl w:val="0"/>
          <w:numId w:val="1001"/>
        </w:numPr>
      </w:pPr>
      <w:r>
        <w:t xml:space="preserve">Visualize the series</w:t>
      </w:r>
    </w:p>
    <w:p>
      <w:pPr>
        <w:pStyle w:val="Compact"/>
        <w:numPr>
          <w:ilvl w:val="0"/>
          <w:numId w:val="1001"/>
        </w:numPr>
      </w:pPr>
      <w:r>
        <w:t xml:space="preserve">Configure and run the AMOC detector (</w:t>
      </w:r>
      <w:r>
        <w:rPr>
          <w:rStyle w:val="VerbatimChar"/>
        </w:rPr>
        <w:t xml:space="preserve">hcp_amoc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 and evaluate against ground truth</w:t>
      </w:r>
    </w:p>
    <w:p>
      <w:pPr>
        <w:pStyle w:val="Compact"/>
        <w:numPr>
          <w:ilvl w:val="0"/>
          <w:numId w:val="1001"/>
        </w:numPr>
      </w:pPr>
      <w:r>
        <w:t xml:space="preserve">Plot the detections over the series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AMOC: AMOC targets a single most significant change point in a univariate series by optimizing a cost function over all possible change locations. It is appropriate when at most one structural break is expected. This wraps the AMOC method from the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package.</w:t>
      </w:r>
    </w:p>
    <w:bookmarkEnd w:id="10"/>
    <w:bookmarkStart w:id="23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hcp_amoc</w:t>
      </w:r>
      <w:r>
        <w:t xml:space="preserve">. The semantic point is the one stated above: aMOC: AMOC targets a single most significant change point in a univariate series by optimizing a cost function over all possible change locations,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a dataset ("complex" contains multiple regimes)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aMOC: AMOC targets a single most significant change point in a univariate series by optimizing a cost function over all possible change locations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 to visualize regime changes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1-single-break-hcp_amoc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aMOC: AMOC targets a single most significant change point in a univariate series by optimizing a cost function over all possible change locations, so each argument controls how strongly the method will emphasize that pattern when it later produces change-point candidates.</w:t>
      </w:r>
    </w:p>
    <w:p>
      <w:pPr>
        <w:pStyle w:val="SourceCode"/>
      </w:pPr>
      <w:r>
        <w:rPr>
          <w:rStyle w:val="CommentTok"/>
        </w:rPr>
        <w:t xml:space="preserve"># Configure the AMOC change-point detector (single change)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hcp_amoc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required, keeps parameters on object)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hcp_amoc</w:t>
      </w:r>
      <w:r>
        <w:t xml:space="preserve">, the important question is whether the resulting change-point candidates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 over the full series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change-point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1 389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hcp_amoc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the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4     495</w:t>
      </w:r>
    </w:p>
    <w:bookmarkEnd w:id="18"/>
    <w:bookmarkStart w:id="22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change-point candidates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and ground truth on top of the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1-single-break-hcp_amoc_files/faf3cb078f9e5153b75e72982fd254ab7b137347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Hinkley, D. V. (1970). Inference about the change-point in a sequence of random variables. Biometrika, 57(1), 1-17.</w:t>
      </w:r>
      <w:r>
        <w:t xml:space="preserve"> </w:t>
      </w:r>
      <w:hyperlink r:id="rId24">
        <w:r>
          <w:rPr>
            <w:rStyle w:val="Hyperlink"/>
          </w:rPr>
          <w:t xml:space="preserve">doi:10.1093/biomet/57.1.1</w:t>
        </w:r>
      </w:hyperlink>
    </w:p>
    <w:p>
      <w:pPr>
        <w:pStyle w:val="Compact"/>
        <w:numPr>
          <w:ilvl w:val="0"/>
          <w:numId w:val="1003"/>
        </w:numPr>
      </w:pPr>
      <w:r>
        <w:t xml:space="preserve">Killick, R., Fearnhead, P., Eckley, I. A. (2012). Optimal detection of changepoints with a linear computational cost. Journal of the American Statistical Association, 107(500), 1590-1598.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24" Target="doi:10.1093/biomet/57.1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i:10.1093/biomet/57.1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2026-07-08T22:35:00Z</dcterms:created>
  <dcterms:modified xsi:type="dcterms:W3CDTF">2026-07-08T22:35:00Z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