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dataset-examples"/>
    <w:p>
      <w:pPr>
        <w:pStyle w:val="Heading1"/>
      </w:pPr>
      <w:r>
        <w:t xml:space="preserve">Dataset Examples</w:t>
      </w:r>
    </w:p>
    <w:p>
      <w:pPr>
        <w:pStyle w:val="FirstParagraph"/>
      </w:pPr>
      <w:r>
        <w:t xml:space="preserve">This folder introduces the collections distributed through the</w:t>
      </w:r>
      <w:r>
        <w:t xml:space="preserve"> </w:t>
      </w:r>
      <w:r>
        <w:rPr>
          <w:rStyle w:val="VerbatimChar"/>
        </w:rPr>
        <w:t xml:space="preserve">united</w:t>
      </w:r>
      <w:r>
        <w:t xml:space="preserve"> </w:t>
      </w:r>
      <w:r>
        <w:t xml:space="preserve">integration. Its purpose is practical: help the reader understand what each benchmark contains before using it in anomaly, change-point, or motif experiments.</w:t>
      </w:r>
    </w:p>
    <w:p>
      <w:pPr>
        <w:pStyle w:val="BodyText"/>
      </w:pPr>
      <w:r>
        <w:t xml:space="preserve">Many readers want to jump directly to a model, but that usually leads to weak choices. These notebooks are grouped to encourage the opposite path: first understand the type of collection you are dealing with, then decide which family of techniques makes sense for it.</w:t>
      </w:r>
    </w:p>
    <w:p>
      <w:pPr>
        <w:pStyle w:val="BodyText"/>
      </w:pPr>
      <w:r>
        <w:t xml:space="preserve">The sequence starts with broad benchmark archives and then moves to domain datasets with their own signal structure and interpretation.</w:t>
      </w:r>
    </w:p>
    <w:bookmarkStart w:id="12" w:name="benchmark-archives"/>
    <w:p>
      <w:pPr>
        <w:pStyle w:val="Heading2"/>
      </w:pPr>
      <w:r>
        <w:t xml:space="preserve">Benchmark Archives</w:t>
      </w:r>
    </w:p>
    <w:p>
      <w:pPr>
        <w:pStyle w:val="FirstParagraph"/>
      </w:pPr>
      <w:r>
        <w:t xml:space="preserve">These collections are useful when the goal is to compare methods on widely used reference datasets.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01-benchmarks-yahoo_benchmarks.md</w:t>
        </w:r>
      </w:hyperlink>
      <w:r>
        <w:t xml:space="preserve"> </w:t>
      </w:r>
      <w:r>
        <w:t xml:space="preserve">- Yahoo Webscope S5 benchmark groups and their labeled anomaly series.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02-benchmarks-nab.md</w:t>
        </w:r>
      </w:hyperlink>
      <w:r>
        <w:t xml:space="preserve"> </w:t>
      </w:r>
      <w:r>
        <w:t xml:space="preserve">- Numenta Anomaly Benchmark collections and their event-oriented labeling style.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03-benchmarks-ucr.md</w:t>
        </w:r>
      </w:hyperlink>
      <w:r>
        <w:t xml:space="preserve"> </w:t>
      </w:r>
      <w:r>
        <w:t xml:space="preserve">- UCR Anomaly Archive examples for subsequence-oriented anomaly studies.</w:t>
      </w:r>
    </w:p>
    <w:bookmarkEnd w:id="12"/>
    <w:bookmarkStart w:id="16" w:name="domain-collections"/>
    <w:p>
      <w:pPr>
        <w:pStyle w:val="Heading2"/>
      </w:pPr>
      <w:r>
        <w:t xml:space="preserve">Domain Collections</w:t>
      </w:r>
    </w:p>
    <w:p>
      <w:pPr>
        <w:pStyle w:val="FirstParagraph"/>
      </w:pPr>
      <w:r>
        <w:t xml:space="preserve">After the benchmark archives, these examples show datasets whose signals come from more specific application contexts and therefore demand more careful interpretation.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04-domain-mit_bih.md</w:t>
        </w:r>
      </w:hyperlink>
      <w:r>
        <w:t xml:space="preserve"> </w:t>
      </w:r>
      <w:r>
        <w:t xml:space="preserve">- MIT-BIH arrhythmia signals and ECG-oriented inspection.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05-domain-oil_3w.md</w:t>
        </w:r>
      </w:hyperlink>
      <w:r>
        <w:t xml:space="preserve"> </w:t>
      </w:r>
      <w:r>
        <w:t xml:space="preserve">- 3W oil-well datasets with multivariate sensor readings.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06-domain-gecco.md</w:t>
        </w:r>
      </w:hyperlink>
      <w:r>
        <w:t xml:space="preserve"> </w:t>
      </w:r>
      <w:r>
        <w:t xml:space="preserve">- GECCO water-quality series for real-world anomaly analysis.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datasets/01-benchmarks-yahoo_benchmarks.md" TargetMode="External" /><Relationship Type="http://schemas.openxmlformats.org/officeDocument/2006/relationships/hyperlink" Id="rId10" Target="/examples/datasets/02-benchmarks-nab.md" TargetMode="External" /><Relationship Type="http://schemas.openxmlformats.org/officeDocument/2006/relationships/hyperlink" Id="rId11" Target="/examples/datasets/03-benchmarks-ucr.md" TargetMode="External" /><Relationship Type="http://schemas.openxmlformats.org/officeDocument/2006/relationships/hyperlink" Id="rId13" Target="/examples/datasets/04-domain-mit_bih.md" TargetMode="External" /><Relationship Type="http://schemas.openxmlformats.org/officeDocument/2006/relationships/hyperlink" Id="rId14" Target="/examples/datasets/05-domain-oil_3w.md" TargetMode="External" /><Relationship Type="http://schemas.openxmlformats.org/officeDocument/2006/relationships/hyperlink" Id="rId15" Target="/examples/datasets/06-domain-gecc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datasets/01-benchmarks-yahoo_benchmarks.md" TargetMode="External" /><Relationship Type="http://schemas.openxmlformats.org/officeDocument/2006/relationships/hyperlink" Id="rId10" Target="/examples/datasets/02-benchmarks-nab.md" TargetMode="External" /><Relationship Type="http://schemas.openxmlformats.org/officeDocument/2006/relationships/hyperlink" Id="rId11" Target="/examples/datasets/03-benchmarks-ucr.md" TargetMode="External" /><Relationship Type="http://schemas.openxmlformats.org/officeDocument/2006/relationships/hyperlink" Id="rId13" Target="/examples/datasets/04-domain-mit_bih.md" TargetMode="External" /><Relationship Type="http://schemas.openxmlformats.org/officeDocument/2006/relationships/hyperlink" Id="rId14" Target="/examples/datasets/05-domain-oil_3w.md" TargetMode="External" /><Relationship Type="http://schemas.openxmlformats.org/officeDocument/2006/relationships/hyperlink" Id="rId15" Target="/examples/datasets/06-domain-gecc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2026-07-08T22:38:21Z</dcterms:created>
  <dcterms:modified xsi:type="dcterms:W3CDTF">2026-07-08T22:38:21Z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