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30.png" ContentType="image/png"/>
  <Override PartName="/word/media/rId21.png" ContentType="image/png"/>
  <Override PartName="/word/media/rId12.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9"/>
    <w:bookmarkStart w:id="10" w:name="method-at-a-glance"/>
    <w:p>
      <w:pPr>
        <w:pStyle w:val="Heading2"/>
      </w:pPr>
      <w:r>
        <w:t xml:space="preserve">Method at a glance</w:t>
      </w:r>
    </w:p>
    <w:p>
      <w:pPr>
        <w:pStyle w:val="FirstParagraph"/>
      </w:pPr>
      <w:r>
        <w:t xml:space="preserve">This notebook provides quick end-to-end demonstrations of the default</w:t>
      </w:r>
      <w:r>
        <w:t xml:space="preserve"> </w:t>
      </w:r>
      <w:r>
        <w:rPr>
          <w:rStyle w:val="VerbatimChar"/>
        </w:rPr>
        <w:t xml:space="preserve">harbinger()</w:t>
      </w:r>
      <w:r>
        <w:t xml:space="preserve"> </w:t>
      </w:r>
      <w:r>
        <w:t xml:space="preserve">pipeline across diverse datasets (nonstationarity, global temperature monthly/yearly, multivariate, and weather). For each dataset we: fit the default pipeline, run detection, and plot detections over the series. The goal is to illustrate Harbinger’s unified interface for anomalies, change points, and motifs, and how it builds on DAL Toolbox models.</w:t>
      </w:r>
    </w:p>
    <w:bookmarkEnd w:id="10"/>
    <w:bookmarkStart w:id="34"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harbinger()</w:t>
      </w:r>
      <w:r>
        <w:t xml:space="preserve">. The semantic point is the one stated above: this notebook provides quick end-to-end demonstrations of the default</w:t>
      </w:r>
      <w:r>
        <w:t xml:space="preserve"> </w:t>
      </w:r>
      <w:r>
        <w:rPr>
          <w:rStyle w:val="VerbatimChar"/>
        </w:rPr>
        <w:t xml:space="preserve">harbinger()</w:t>
      </w:r>
      <w:r>
        <w:t xml:space="preserve"> </w:t>
      </w:r>
      <w:r>
        <w:t xml:space="preserve">pipeline across diverse datasets (nonstationarity, global temperature monthly/yearly, multivariate, and weather),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bookmarkEnd w:id="11"/>
    <w:bookmarkStart w:id="33" w:name="configure-the-method"/>
    <w:p>
      <w:pPr>
        <w:pStyle w:val="Heading3"/>
      </w:pPr>
      <w:r>
        <w:t xml:space="preserve">Configure the Method</w:t>
      </w:r>
    </w:p>
    <w:p>
      <w:pPr>
        <w:pStyle w:val="FirstParagraph"/>
      </w:pPr>
      <w:r>
        <w:t xml:space="preserve">The choices below turn the central modeling idea into concrete parameters. They matter because this notebook provides quick end-to-end demonstrations of the default</w:t>
      </w:r>
      <w:r>
        <w:t xml:space="preserve"> </w:t>
      </w:r>
      <w:r>
        <w:rPr>
          <w:rStyle w:val="VerbatimChar"/>
        </w:rPr>
        <w:t xml:space="preserve">harbinger()</w:t>
      </w:r>
      <w:r>
        <w:t xml:space="preserve"> </w:t>
      </w:r>
      <w:r>
        <w:t xml:space="preserve">pipeline across diverse datasets (nonstationarity, global temperature monthly/yearly, multivariate, and weather), so each argument controls how strongly the method will emphasize that pattern when it later produces workflow outputs.</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(examples_harbinger)</w:t>
      </w:r>
      <w:r>
        <w:br/>
      </w:r>
      <w:r>
        <w:rPr>
          <w:rStyle w:val="NormalTok"/>
        </w:rPr>
        <w:t xml:space="preserve">model </w:t>
      </w:r>
      <w:r>
        <w:rPr>
          <w:rStyle w:val="OtherTok"/>
        </w:rPr>
        <w:t xml:space="preserve">&lt;-</w:t>
      </w:r>
      <w:r>
        <w:rPr>
          <w:rStyle w:val="NormalTok"/>
        </w:rPr>
        <w:t xml:space="preserve"> </w:t>
      </w:r>
      <w:r>
        <w:rPr>
          <w:rStyle w:val="FunctionTok"/>
        </w:rPr>
        <w:t xml:space="preserve">harbinger</w:t>
      </w:r>
      <w:r>
        <w:rPr>
          <w:rStyle w:val="NormalTok"/>
        </w:rPr>
        <w:t xml:space="preserve">()</w:t>
      </w:r>
    </w:p>
    <w:p>
      <w:pPr>
        <w:pStyle w:val="SourceCode"/>
      </w:pPr>
      <w:r>
        <w:rPr>
          <w:rStyle w:val="CommentTok"/>
        </w:rPr>
        <w:t xml:space="preserve"># Example: nonstationarity time series</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nonstationarity</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general/doc/01-orientation-examples_harbinger_files/8fa463b78968be9c5df373ae6ec1f5f6c3b858b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global temperature (yearly)</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global_temperature_yearly</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6" name="Picture"/>
            <a:graphic>
              <a:graphicData uri="http://schemas.openxmlformats.org/drawingml/2006/picture">
                <pic:pic>
                  <pic:nvPicPr>
                    <pic:cNvPr descr="/home/gpca/harbinger/examples/general/doc/01-orientation-examples_harbinger_files/046753e51a83065dce4de7e59b416a9de4819829.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global temperature (monthly)</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global_temperature_monthly</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9" name="Picture"/>
            <a:graphic>
              <a:graphicData uri="http://schemas.openxmlformats.org/drawingml/2006/picture">
                <pic:pic>
                  <pic:nvPicPr>
                    <pic:cNvPr descr="/home/gpca/harbinger/examples/general/doc/01-orientation-examples_harbinger_files/0fc44e19451e26d947af50a89f4b00b310a0e899.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multidimensional time series</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multidimensional</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2" name="Picture"/>
            <a:graphic>
              <a:graphicData uri="http://schemas.openxmlformats.org/drawingml/2006/picture">
                <pic:pic>
                  <pic:nvPicPr>
                    <pic:cNvPr descr="/home/gpca/harbinger/examples/general/doc/01-orientation-examples_harbinger_files/735025fb8b980f9e20d07d0d6933518118f5de10.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x)</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x)</w:t>
      </w:r>
      <w:r>
        <w:br/>
      </w:r>
      <w:r>
        <w:rPr>
          <w:rStyle w:val="FunctionTok"/>
        </w:rPr>
        <w:t xml:space="preserve">har_plot</w:t>
      </w:r>
      <w:r>
        <w:rPr>
          <w:rStyle w:val="NormalTok"/>
        </w:rPr>
        <w:t xml:space="preserve">(model, dataset</w:t>
      </w:r>
      <w:r>
        <w:rPr>
          <w:rStyle w:val="SpecialCharTok"/>
        </w:rPr>
        <w:t xml:space="preserve">$</w:t>
      </w:r>
      <w:r>
        <w:rPr>
          <w:rStyle w:val="NormalTok"/>
        </w:rPr>
        <w:t xml:space="preserve">x,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5" name="Picture"/>
            <a:graphic>
              <a:graphicData uri="http://schemas.openxmlformats.org/drawingml/2006/picture">
                <pic:pic>
                  <pic:nvPicPr>
                    <pic:cNvPr descr="/home/gpca/harbinger/examples/general/doc/01-orientation-examples_harbinger_files/948518a60c55f50f1ee77c6947b9558879654c94.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Seattle weekly temperature time series</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seattle_week</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8" name="Picture"/>
            <a:graphic>
              <a:graphicData uri="http://schemas.openxmlformats.org/drawingml/2006/picture">
                <pic:pic>
                  <pic:nvPicPr>
                    <pic:cNvPr descr="/home/gpca/harbinger/examples/general/doc/01-orientation-examples_harbinger_files/c2f6525a1fa0bcf4bf8adbb34274a6c21df19a3d.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Example: Seattle daily temperature time series</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seattle_daily</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1" name="Picture"/>
            <a:graphic>
              <a:graphicData uri="http://schemas.openxmlformats.org/drawingml/2006/picture">
                <pic:pic>
                  <pic:nvPicPr>
                    <pic:cNvPr descr="/home/gpca/harbinger/examples/general/doc/01-orientation-examples_harbinger_files/492c8898ffe26293eb3a07367c878eb31e2fd819.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End w:id="34"/>
    <w:bookmarkStart w:id="37"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35">
        <w:r>
          <w:rPr>
            <w:rStyle w:val="Hyperlink"/>
          </w:rPr>
          <w:t xml:space="preserve">doi:10.1007/978-3-031-75941-3</w:t>
        </w:r>
      </w:hyperlink>
    </w:p>
    <w:p>
      <w:pPr>
        <w:pStyle w:val="Compact"/>
        <w:numPr>
          <w:ilvl w:val="0"/>
          <w:numId w:val="1002"/>
        </w:numPr>
      </w:pPr>
      <w:r>
        <w:t xml:space="preserve">DAL Toolbox documentation:</w:t>
      </w:r>
      <w:r>
        <w:t xml:space="preserve"> </w:t>
      </w:r>
      <w:hyperlink r:id="rId36">
        <w:r>
          <w:rPr>
            <w:rStyle w:val="Hyperlink"/>
          </w:rPr>
          <w:t xml:space="preserve">https://cefet-rj-dal.github.io/daltoolbox/</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image" Id="rId21" Target="media/rId21.png"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35" Target="doi:10.1007/978-3-031-75941-3" TargetMode="External" /><Relationship Type="http://schemas.openxmlformats.org/officeDocument/2006/relationships/hyperlink" Id="rId36" Target="https://cefet-rj-dal.github.io/daltoolbox/" TargetMode="External" /></Relationships>
</file>

<file path=word/_rels/footnotes.xml.rels><?xml version="1.0" encoding="UTF-8"?><Relationships xmlns="http://schemas.openxmlformats.org/package/2006/relationships"><Relationship Type="http://schemas.openxmlformats.org/officeDocument/2006/relationships/hyperlink" Id="rId35" Target="doi:10.1007/978-3-031-75941-3" TargetMode="External" /><Relationship Type="http://schemas.openxmlformats.org/officeDocument/2006/relationships/hyperlink" Id="rId36" Target="https://cefet-rj-dal.github.io/daltoolbo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2026-07-08T22:38:23Z</dcterms:created>
  <dcterms:modified xsi:type="dcterms:W3CDTF">2026-07-08T22:38:23Z</dcterms:modified>
</cp:coreProperties>
</file>

<file path=docProps/custom.xml><?xml version="1.0" encoding="utf-8"?>
<Properties xmlns="http://schemas.openxmlformats.org/officeDocument/2006/custom-properties" xmlns:vt="http://schemas.openxmlformats.org/officeDocument/2006/docPropsVTypes"/>
</file>